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方正小标宋简体" w:cs="Times New Roman"/>
          <w:sz w:val="44"/>
          <w:szCs w:val="44"/>
        </w:rPr>
      </w:pPr>
    </w:p>
    <w:p>
      <w:pPr>
        <w:spacing w:line="60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龙江银行面向哈尔滨工业大学人才招聘公告</w:t>
      </w:r>
    </w:p>
    <w:p>
      <w:pPr>
        <w:spacing w:line="600" w:lineRule="exact"/>
        <w:ind w:firstLine="680" w:firstLineChars="200"/>
        <w:rPr>
          <w:rFonts w:ascii="Times New Roman" w:hAnsi="Times New Roman" w:eastAsia="仿宋_GB2312" w:cs="Times New Roman"/>
          <w:sz w:val="34"/>
          <w:szCs w:val="34"/>
        </w:rPr>
      </w:pPr>
    </w:p>
    <w:p>
      <w:pPr>
        <w:spacing w:line="600" w:lineRule="exact"/>
        <w:ind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龙江银行股份有限公司（以下简称龙江银行）经中国银行业监督管理委员会批准，于</w:t>
      </w:r>
      <w:r>
        <w:rPr>
          <w:rFonts w:ascii="Times New Roman" w:hAnsi="Times New Roman" w:eastAsia="仿宋_GB2312" w:cs="Times New Roman"/>
          <w:sz w:val="34"/>
          <w:szCs w:val="34"/>
        </w:rPr>
        <w:t>2009</w:t>
      </w:r>
      <w:r>
        <w:rPr>
          <w:rFonts w:hint="eastAsia" w:ascii="Times New Roman" w:hAnsi="Times New Roman" w:eastAsia="仿宋_GB2312" w:cs="Times New Roman"/>
          <w:sz w:val="34"/>
          <w:szCs w:val="34"/>
        </w:rPr>
        <w:t>年</w:t>
      </w:r>
      <w:r>
        <w:rPr>
          <w:rFonts w:ascii="Times New Roman" w:hAnsi="Times New Roman" w:eastAsia="仿宋_GB2312" w:cs="Times New Roman"/>
          <w:sz w:val="34"/>
          <w:szCs w:val="34"/>
        </w:rPr>
        <w:t>12</w:t>
      </w:r>
      <w:r>
        <w:rPr>
          <w:rFonts w:hint="eastAsia" w:ascii="Times New Roman" w:hAnsi="Times New Roman" w:eastAsia="仿宋_GB2312" w:cs="Times New Roman"/>
          <w:sz w:val="34"/>
          <w:szCs w:val="34"/>
        </w:rPr>
        <w:t>月</w:t>
      </w:r>
      <w:r>
        <w:rPr>
          <w:rFonts w:ascii="Times New Roman" w:hAnsi="Times New Roman" w:eastAsia="仿宋_GB2312" w:cs="Times New Roman"/>
          <w:sz w:val="34"/>
          <w:szCs w:val="34"/>
        </w:rPr>
        <w:t>25</w:t>
      </w:r>
      <w:r>
        <w:rPr>
          <w:rFonts w:hint="eastAsia" w:ascii="Times New Roman" w:hAnsi="Times New Roman" w:eastAsia="仿宋_GB2312" w:cs="Times New Roman"/>
          <w:sz w:val="34"/>
          <w:szCs w:val="34"/>
        </w:rPr>
        <w:t>日正式对外挂牌营业，是在原齐齐哈尔市商业银行、牡丹江市商业银行、大庆市商业银行和七台河市城市信用社基础上合并重组而设立的省级城市商业银行。在黑龙江省内</w:t>
      </w:r>
      <w:r>
        <w:rPr>
          <w:rFonts w:ascii="Times New Roman" w:hAnsi="Times New Roman" w:eastAsia="仿宋_GB2312" w:cs="Times New Roman"/>
          <w:sz w:val="34"/>
          <w:szCs w:val="34"/>
        </w:rPr>
        <w:t>13</w:t>
      </w:r>
      <w:r>
        <w:rPr>
          <w:rFonts w:hint="eastAsia" w:ascii="Times New Roman" w:hAnsi="Times New Roman" w:eastAsia="仿宋_GB2312" w:cs="Times New Roman"/>
          <w:sz w:val="34"/>
          <w:szCs w:val="34"/>
        </w:rPr>
        <w:t>个地市均设有分行，辖属营业网点</w:t>
      </w:r>
      <w:r>
        <w:rPr>
          <w:rFonts w:ascii="Times New Roman" w:hAnsi="Times New Roman" w:eastAsia="仿宋_GB2312" w:cs="Times New Roman"/>
          <w:sz w:val="34"/>
          <w:szCs w:val="34"/>
        </w:rPr>
        <w:t>23</w:t>
      </w:r>
      <w:r>
        <w:rPr>
          <w:rFonts w:hint="eastAsia" w:ascii="Times New Roman" w:hAnsi="Times New Roman" w:eastAsia="仿宋_GB2312" w:cs="Times New Roman"/>
          <w:sz w:val="34"/>
          <w:szCs w:val="34"/>
          <w:lang w:val="en-US" w:eastAsia="zh-CN"/>
        </w:rPr>
        <w:t>4</w:t>
      </w:r>
      <w:r>
        <w:rPr>
          <w:rFonts w:hint="eastAsia" w:ascii="Times New Roman" w:hAnsi="Times New Roman" w:eastAsia="仿宋_GB2312" w:cs="Times New Roman"/>
          <w:sz w:val="34"/>
          <w:szCs w:val="34"/>
        </w:rPr>
        <w:t>个，从业人员</w:t>
      </w:r>
      <w:r>
        <w:rPr>
          <w:rFonts w:ascii="Times New Roman" w:hAnsi="Times New Roman" w:eastAsia="仿宋_GB2312" w:cs="Times New Roman"/>
          <w:sz w:val="34"/>
          <w:szCs w:val="34"/>
        </w:rPr>
        <w:t>5000</w:t>
      </w:r>
      <w:r>
        <w:rPr>
          <w:rFonts w:hint="eastAsia" w:ascii="Times New Roman" w:hAnsi="Times New Roman" w:eastAsia="仿宋_GB2312" w:cs="Times New Roman"/>
          <w:sz w:val="34"/>
          <w:szCs w:val="34"/>
        </w:rPr>
        <w:t>余人，在黑龙江、湖北、安徽、福建、宁夏等</w:t>
      </w:r>
      <w:r>
        <w:rPr>
          <w:rFonts w:ascii="Times New Roman" w:hAnsi="Times New Roman" w:eastAsia="仿宋_GB2312" w:cs="Times New Roman"/>
          <w:sz w:val="34"/>
          <w:szCs w:val="34"/>
        </w:rPr>
        <w:t>5</w:t>
      </w:r>
      <w:r>
        <w:rPr>
          <w:rFonts w:hint="eastAsia" w:ascii="Times New Roman" w:hAnsi="Times New Roman" w:eastAsia="仿宋_GB2312" w:cs="Times New Roman"/>
          <w:sz w:val="34"/>
          <w:szCs w:val="34"/>
        </w:rPr>
        <w:t>省区发起设立村镇银行</w:t>
      </w:r>
      <w:r>
        <w:rPr>
          <w:rFonts w:ascii="Times New Roman" w:hAnsi="Times New Roman" w:eastAsia="仿宋_GB2312" w:cs="Times New Roman"/>
          <w:sz w:val="34"/>
          <w:szCs w:val="34"/>
        </w:rPr>
        <w:t>11</w:t>
      </w:r>
      <w:r>
        <w:rPr>
          <w:rFonts w:hint="eastAsia" w:ascii="Times New Roman" w:hAnsi="Times New Roman" w:eastAsia="仿宋_GB2312" w:cs="Times New Roman"/>
          <w:sz w:val="34"/>
          <w:szCs w:val="34"/>
        </w:rPr>
        <w:t>家。近年来，龙江银行各项经营指标持续向好，黑龙江省委、省政府已批准了龙江银行混合所有制改革方案，预计</w:t>
      </w:r>
      <w:r>
        <w:rPr>
          <w:rFonts w:ascii="Times New Roman" w:hAnsi="Times New Roman" w:eastAsia="仿宋_GB2312" w:cs="Times New Roman"/>
          <w:sz w:val="34"/>
          <w:szCs w:val="34"/>
        </w:rPr>
        <w:t>2018</w:t>
      </w:r>
      <w:r>
        <w:rPr>
          <w:rFonts w:hint="eastAsia" w:ascii="Times New Roman" w:hAnsi="Times New Roman" w:eastAsia="仿宋_GB2312" w:cs="Times New Roman"/>
          <w:sz w:val="34"/>
          <w:szCs w:val="34"/>
        </w:rPr>
        <w:t>年底完成混改工作并计划未来</w:t>
      </w:r>
      <w:r>
        <w:rPr>
          <w:rFonts w:ascii="Times New Roman" w:hAnsi="Times New Roman" w:eastAsia="仿宋_GB2312" w:cs="Times New Roman"/>
          <w:sz w:val="34"/>
          <w:szCs w:val="34"/>
        </w:rPr>
        <w:t>3</w:t>
      </w:r>
      <w:r>
        <w:rPr>
          <w:rFonts w:hint="eastAsia" w:ascii="Times New Roman" w:hAnsi="Times New Roman" w:eastAsia="仿宋_GB2312" w:cs="Times New Roman"/>
          <w:sz w:val="34"/>
          <w:szCs w:val="34"/>
        </w:rPr>
        <w:t>年上市。</w:t>
      </w:r>
    </w:p>
    <w:p>
      <w:pPr>
        <w:spacing w:line="600" w:lineRule="exact"/>
        <w:ind w:firstLine="680" w:firstLineChars="200"/>
        <w:rPr>
          <w:rFonts w:ascii="Times New Roman" w:hAnsi="Times New Roman" w:eastAsia="仿宋_GB2312" w:cs="Times New Roman"/>
          <w:sz w:val="34"/>
          <w:szCs w:val="34"/>
        </w:rPr>
      </w:pPr>
      <w:r>
        <w:rPr>
          <w:rFonts w:hint="eastAsia" w:ascii="Times New Roman" w:hAnsi="Times New Roman" w:eastAsia="仿宋_GB2312" w:cs="Times New Roman"/>
          <w:sz w:val="34"/>
          <w:szCs w:val="34"/>
        </w:rPr>
        <w:t>现诚邀哈尔滨工业大学有志于扎根黑土地、投身金融业的优秀毕业生加入我们，携手共创龙江美好未来！</w:t>
      </w:r>
      <w:r>
        <w:rPr>
          <w:rFonts w:ascii="Times New Roman" w:hAnsi="Times New Roman" w:eastAsia="仿宋_GB2312" w:cs="Times New Roman"/>
          <w:sz w:val="34"/>
          <w:szCs w:val="34"/>
        </w:rPr>
        <w:t xml:space="preserve"> </w:t>
      </w:r>
    </w:p>
    <w:p>
      <w:pPr>
        <w:spacing w:line="600" w:lineRule="exact"/>
        <w:ind w:firstLine="680" w:firstLineChars="200"/>
        <w:rPr>
          <w:rFonts w:ascii="Times New Roman" w:hAnsi="Times New Roman" w:eastAsia="黑体" w:cs="Times New Roman"/>
          <w:sz w:val="34"/>
          <w:szCs w:val="34"/>
        </w:rPr>
      </w:pPr>
      <w:r>
        <w:rPr>
          <w:rFonts w:hint="eastAsia" w:ascii="Times New Roman" w:hAnsi="Times New Roman" w:eastAsia="黑体" w:cs="Times New Roman"/>
          <w:sz w:val="34"/>
          <w:szCs w:val="34"/>
        </w:rPr>
        <w:t>一、招聘人数</w:t>
      </w:r>
    </w:p>
    <w:p>
      <w:pPr>
        <w:spacing w:line="600" w:lineRule="exact"/>
        <w:ind w:firstLine="680" w:firstLineChars="200"/>
        <w:rPr>
          <w:rFonts w:ascii="Times New Roman" w:hAnsi="Times New Roman" w:eastAsia="仿宋_GB2312" w:cs="Times New Roman"/>
          <w:sz w:val="34"/>
          <w:szCs w:val="34"/>
        </w:rPr>
      </w:pPr>
      <w:r>
        <w:rPr>
          <w:rFonts w:ascii="Times New Roman" w:hAnsi="Times New Roman" w:eastAsia="仿宋_GB2312" w:cs="Times New Roman"/>
          <w:sz w:val="34"/>
          <w:szCs w:val="34"/>
        </w:rPr>
        <w:t>10</w:t>
      </w:r>
      <w:r>
        <w:rPr>
          <w:rFonts w:hint="eastAsia" w:ascii="Times New Roman" w:hAnsi="Times New Roman" w:eastAsia="仿宋_GB2312" w:cs="Times New Roman"/>
          <w:sz w:val="34"/>
          <w:szCs w:val="34"/>
        </w:rPr>
        <w:t>人</w:t>
      </w:r>
    </w:p>
    <w:p>
      <w:pPr>
        <w:spacing w:line="600" w:lineRule="exact"/>
        <w:ind w:firstLine="680" w:firstLineChars="200"/>
        <w:rPr>
          <w:rFonts w:ascii="Times New Roman" w:hAnsi="Times New Roman" w:eastAsia="黑体" w:cs="Times New Roman"/>
          <w:sz w:val="34"/>
          <w:szCs w:val="34"/>
          <w:highlight w:val="none"/>
        </w:rPr>
      </w:pPr>
      <w:r>
        <w:rPr>
          <w:rFonts w:hint="eastAsia" w:ascii="Times New Roman" w:hAnsi="Times New Roman" w:eastAsia="黑体" w:cs="Times New Roman"/>
          <w:sz w:val="34"/>
          <w:szCs w:val="34"/>
          <w:highlight w:val="none"/>
        </w:rPr>
        <w:t>二、招聘岗位</w:t>
      </w:r>
    </w:p>
    <w:p>
      <w:pPr>
        <w:spacing w:line="600" w:lineRule="exact"/>
        <w:ind w:firstLine="680" w:firstLineChars="200"/>
        <w:rPr>
          <w:rFonts w:ascii="Times New Roman" w:hAnsi="Times New Roman" w:eastAsia="仿宋_GB2312" w:cs="Times New Roman"/>
          <w:color w:val="auto"/>
          <w:sz w:val="34"/>
          <w:szCs w:val="34"/>
          <w:highlight w:val="none"/>
        </w:rPr>
      </w:pPr>
      <w:r>
        <w:rPr>
          <w:rFonts w:hint="eastAsia" w:ascii="Times New Roman" w:hAnsi="Times New Roman" w:eastAsia="仿宋_GB2312" w:cs="Times New Roman"/>
          <w:sz w:val="34"/>
          <w:szCs w:val="34"/>
          <w:highlight w:val="none"/>
        </w:rPr>
        <w:t>本次招聘录用的人员，原则上安排在龙江银行总行或其他有用人需求的单位</w:t>
      </w:r>
      <w:r>
        <w:rPr>
          <w:rFonts w:hint="eastAsia" w:ascii="Times New Roman" w:hAnsi="Times New Roman" w:eastAsia="仿宋_GB2312" w:cs="Times New Roman"/>
          <w:color w:val="auto"/>
          <w:sz w:val="34"/>
          <w:szCs w:val="34"/>
          <w:highlight w:val="none"/>
          <w:lang w:eastAsia="zh-CN"/>
        </w:rPr>
        <w:t>（哈尔滨市范围内）</w:t>
      </w:r>
      <w:r>
        <w:rPr>
          <w:rFonts w:hint="eastAsia" w:ascii="Times New Roman" w:hAnsi="Times New Roman" w:eastAsia="仿宋_GB2312" w:cs="Times New Roman"/>
          <w:color w:val="auto"/>
          <w:sz w:val="34"/>
          <w:szCs w:val="34"/>
          <w:highlight w:val="none"/>
        </w:rPr>
        <w:t>。</w:t>
      </w:r>
    </w:p>
    <w:p>
      <w:pPr>
        <w:spacing w:line="600" w:lineRule="exact"/>
        <w:ind w:firstLine="680" w:firstLineChars="200"/>
        <w:rPr>
          <w:rFonts w:ascii="Times New Roman" w:hAnsi="Times New Roman" w:eastAsia="黑体" w:cs="Times New Roman"/>
          <w:color w:val="auto"/>
          <w:sz w:val="34"/>
          <w:szCs w:val="34"/>
          <w:highlight w:val="none"/>
        </w:rPr>
      </w:pPr>
      <w:r>
        <w:rPr>
          <w:rFonts w:hint="eastAsia" w:ascii="Times New Roman" w:hAnsi="Times New Roman" w:eastAsia="黑体" w:cs="Times New Roman"/>
          <w:color w:val="auto"/>
          <w:sz w:val="34"/>
          <w:szCs w:val="34"/>
          <w:highlight w:val="none"/>
        </w:rPr>
        <w:t>三、招聘条件</w:t>
      </w:r>
    </w:p>
    <w:p>
      <w:pPr>
        <w:spacing w:line="600" w:lineRule="exact"/>
        <w:ind w:firstLine="680" w:firstLineChars="200"/>
        <w:rPr>
          <w:rFonts w:ascii="Times New Roman" w:hAnsi="Times New Roman" w:eastAsia="仿宋_GB2312" w:cs="Times New Roman"/>
          <w:sz w:val="34"/>
          <w:szCs w:val="34"/>
          <w:highlight w:val="none"/>
        </w:rPr>
      </w:pPr>
      <w:r>
        <w:rPr>
          <w:rFonts w:ascii="Times New Roman" w:hAnsi="Times New Roman" w:eastAsia="仿宋_GB2312" w:cs="Times New Roman"/>
          <w:sz w:val="34"/>
          <w:szCs w:val="34"/>
          <w:highlight w:val="none"/>
        </w:rPr>
        <w:t>1.</w:t>
      </w:r>
      <w:r>
        <w:rPr>
          <w:rFonts w:hint="eastAsia" w:ascii="Times New Roman" w:hAnsi="Times New Roman" w:eastAsia="仿宋_GB2312" w:cs="Times New Roman"/>
          <w:sz w:val="34"/>
          <w:szCs w:val="34"/>
          <w:highlight w:val="none"/>
        </w:rPr>
        <w:t>学历要求：全日制本科及以上学历应届毕业生。</w:t>
      </w:r>
    </w:p>
    <w:p>
      <w:pPr>
        <w:spacing w:line="600" w:lineRule="exact"/>
        <w:ind w:firstLine="680" w:firstLineChars="200"/>
        <w:rPr>
          <w:rFonts w:ascii="Times New Roman" w:hAnsi="Times New Roman" w:eastAsia="仿宋_GB2312" w:cs="Times New Roman"/>
          <w:sz w:val="34"/>
          <w:szCs w:val="34"/>
          <w:highlight w:val="none"/>
        </w:rPr>
      </w:pPr>
      <w:r>
        <w:rPr>
          <w:rFonts w:ascii="Times New Roman" w:hAnsi="Times New Roman" w:eastAsia="仿宋_GB2312" w:cs="Times New Roman"/>
          <w:sz w:val="34"/>
          <w:szCs w:val="34"/>
          <w:highlight w:val="none"/>
        </w:rPr>
        <w:t>2.</w:t>
      </w:r>
      <w:r>
        <w:rPr>
          <w:rFonts w:hint="eastAsia" w:ascii="Times New Roman" w:hAnsi="Times New Roman" w:eastAsia="仿宋_GB2312" w:cs="Times New Roman"/>
          <w:sz w:val="34"/>
          <w:szCs w:val="34"/>
          <w:highlight w:val="none"/>
        </w:rPr>
        <w:t>专业要求：包括但不限于国际经济与贸易、经济学、金融学、信息管理与信息系统、会计学、市场营销、财务管理、工商管理、计算机科学与技术、信息安全、数学与应用数学、法学等相关专业。</w:t>
      </w:r>
      <w:bookmarkStart w:id="0" w:name="_GoBack"/>
      <w:bookmarkEnd w:id="0"/>
    </w:p>
    <w:p>
      <w:pPr>
        <w:spacing w:line="600" w:lineRule="exact"/>
        <w:ind w:firstLine="680" w:firstLineChars="200"/>
        <w:rPr>
          <w:rFonts w:ascii="Times New Roman" w:hAnsi="Times New Roman" w:eastAsia="黑体" w:cs="Times New Roman"/>
          <w:sz w:val="34"/>
          <w:szCs w:val="34"/>
          <w:highlight w:val="none"/>
        </w:rPr>
      </w:pPr>
      <w:r>
        <w:rPr>
          <w:rFonts w:hint="eastAsia" w:ascii="Times New Roman" w:hAnsi="Times New Roman" w:eastAsia="黑体" w:cs="Times New Roman"/>
          <w:sz w:val="34"/>
          <w:szCs w:val="34"/>
          <w:highlight w:val="none"/>
        </w:rPr>
        <w:t>四、招聘流程</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双方达成初步意向后，我行将通过结构化面谈等方式确定正式录用人员。</w:t>
      </w:r>
    </w:p>
    <w:p>
      <w:pPr>
        <w:spacing w:line="600" w:lineRule="exact"/>
        <w:ind w:firstLine="680" w:firstLineChars="200"/>
        <w:rPr>
          <w:rFonts w:ascii="Times New Roman" w:hAnsi="Times New Roman" w:eastAsia="黑体" w:cs="Times New Roman"/>
          <w:sz w:val="34"/>
          <w:szCs w:val="34"/>
          <w:highlight w:val="none"/>
        </w:rPr>
      </w:pPr>
      <w:r>
        <w:rPr>
          <w:rFonts w:hint="eastAsia" w:ascii="Times New Roman" w:hAnsi="Times New Roman" w:eastAsia="黑体" w:cs="Times New Roman"/>
          <w:sz w:val="34"/>
          <w:szCs w:val="34"/>
          <w:highlight w:val="none"/>
        </w:rPr>
        <w:t>五、工作地点</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哈尔滨市</w:t>
      </w:r>
    </w:p>
    <w:p>
      <w:pPr>
        <w:spacing w:line="600" w:lineRule="exact"/>
        <w:ind w:firstLine="680" w:firstLineChars="200"/>
        <w:rPr>
          <w:rFonts w:ascii="Times New Roman" w:hAnsi="Times New Roman" w:eastAsia="黑体" w:cs="Times New Roman"/>
          <w:sz w:val="34"/>
          <w:szCs w:val="34"/>
          <w:highlight w:val="none"/>
        </w:rPr>
      </w:pPr>
      <w:r>
        <w:rPr>
          <w:rFonts w:hint="eastAsia" w:ascii="Times New Roman" w:hAnsi="Times New Roman" w:eastAsia="黑体" w:cs="Times New Roman"/>
          <w:sz w:val="34"/>
          <w:szCs w:val="34"/>
          <w:highlight w:val="none"/>
        </w:rPr>
        <w:t>六、福利待遇</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（一）薪资水平：按照市场化选聘人才初始定薪，根据学识水平、个人能力、取得成果及市场相应薪酬水平等情况，确定个性化的专业职档，具体标准面议。</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（二）六险二金：养老保险、基本医疗保险、生育保险、工伤保险、失业保险、补充医疗保险；公积金、企业年金。</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（三）良好的办公环境，丰富的文娱活动；配有健身房、瑜伽室、图书室等年轻人喜欢的生活</w:t>
      </w:r>
      <w:r>
        <w:rPr>
          <w:rFonts w:hint="eastAsia" w:ascii="Times New Roman" w:hAnsi="Times New Roman" w:eastAsia="仿宋_GB2312" w:cs="Times New Roman"/>
          <w:sz w:val="34"/>
          <w:szCs w:val="34"/>
          <w:highlight w:val="none"/>
          <w:lang w:eastAsia="zh-CN"/>
        </w:rPr>
        <w:t>娱乐</w:t>
      </w:r>
      <w:r>
        <w:rPr>
          <w:rFonts w:hint="eastAsia" w:ascii="Times New Roman" w:hAnsi="Times New Roman" w:eastAsia="仿宋_GB2312" w:cs="Times New Roman"/>
          <w:sz w:val="34"/>
          <w:szCs w:val="34"/>
          <w:highlight w:val="none"/>
        </w:rPr>
        <w:t>设施。</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（四）安家费：严格执行黑龙江省</w:t>
      </w:r>
      <w:r>
        <w:rPr>
          <w:rFonts w:hint="eastAsia" w:ascii="Times New Roman" w:hAnsi="Times New Roman" w:eastAsia="仿宋_GB2312" w:cs="Times New Roman"/>
          <w:sz w:val="34"/>
          <w:szCs w:val="34"/>
          <w:highlight w:val="none"/>
          <w:lang w:eastAsia="zh-CN"/>
        </w:rPr>
        <w:t>或</w:t>
      </w:r>
      <w:r>
        <w:rPr>
          <w:rFonts w:hint="eastAsia" w:ascii="Times New Roman" w:hAnsi="Times New Roman" w:eastAsia="仿宋_GB2312" w:cs="Times New Roman"/>
          <w:sz w:val="34"/>
          <w:szCs w:val="34"/>
          <w:highlight w:val="none"/>
        </w:rPr>
        <w:t>哈尔滨市人才引进的相关政策。</w:t>
      </w:r>
    </w:p>
    <w:p>
      <w:pPr>
        <w:spacing w:line="600" w:lineRule="exact"/>
        <w:ind w:firstLine="680" w:firstLineChars="200"/>
        <w:rPr>
          <w:rFonts w:ascii="Times New Roman" w:hAnsi="Times New Roman" w:eastAsia="黑体" w:cs="Times New Roman"/>
          <w:color w:val="auto"/>
          <w:sz w:val="34"/>
          <w:szCs w:val="34"/>
          <w:highlight w:val="none"/>
        </w:rPr>
      </w:pPr>
      <w:r>
        <w:rPr>
          <w:rFonts w:hint="eastAsia" w:ascii="Times New Roman" w:hAnsi="Times New Roman" w:eastAsia="黑体" w:cs="Times New Roman"/>
          <w:color w:val="auto"/>
          <w:sz w:val="34"/>
          <w:szCs w:val="34"/>
          <w:highlight w:val="none"/>
        </w:rPr>
        <w:t>七、其他事项</w:t>
      </w:r>
    </w:p>
    <w:p>
      <w:pPr>
        <w:spacing w:line="600" w:lineRule="exact"/>
        <w:ind w:firstLine="680" w:firstLineChars="200"/>
        <w:rPr>
          <w:rFonts w:ascii="Times New Roman" w:hAnsi="Times New Roman" w:eastAsia="仿宋_GB2312" w:cs="Times New Roman"/>
          <w:color w:val="FF0000"/>
          <w:sz w:val="34"/>
          <w:szCs w:val="34"/>
          <w:highlight w:val="none"/>
        </w:rPr>
      </w:pPr>
      <w:r>
        <w:rPr>
          <w:rFonts w:hint="eastAsia" w:ascii="Times New Roman" w:hAnsi="Times New Roman" w:eastAsia="仿宋_GB2312" w:cs="Times New Roman"/>
          <w:color w:val="auto"/>
          <w:sz w:val="34"/>
          <w:szCs w:val="34"/>
          <w:highlight w:val="none"/>
        </w:rPr>
        <w:t>龙江银行有权根据岗位需要及报名情况等因素，适当调整招聘工作，并对本次招聘享有最终解释权。</w:t>
      </w:r>
    </w:p>
    <w:p>
      <w:pPr>
        <w:spacing w:line="600" w:lineRule="exact"/>
        <w:ind w:firstLine="680" w:firstLineChars="200"/>
        <w:rPr>
          <w:rFonts w:ascii="Times New Roman" w:hAnsi="Times New Roman" w:eastAsia="黑体" w:cs="Times New Roman"/>
          <w:sz w:val="34"/>
          <w:szCs w:val="34"/>
          <w:highlight w:val="none"/>
        </w:rPr>
      </w:pPr>
      <w:r>
        <w:rPr>
          <w:rFonts w:hint="eastAsia" w:ascii="Times New Roman" w:hAnsi="Times New Roman" w:eastAsia="黑体" w:cs="Times New Roman"/>
          <w:sz w:val="34"/>
          <w:szCs w:val="34"/>
          <w:highlight w:val="none"/>
        </w:rPr>
        <w:t>八、联系方式</w:t>
      </w:r>
      <w:r>
        <w:rPr>
          <w:rFonts w:ascii="Times New Roman" w:hAnsi="Times New Roman" w:eastAsia="黑体" w:cs="Times New Roman"/>
          <w:sz w:val="34"/>
          <w:szCs w:val="34"/>
          <w:highlight w:val="none"/>
        </w:rPr>
        <w:t xml:space="preserve"> </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联系人：赵女士</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联系电话：</w:t>
      </w:r>
      <w:r>
        <w:rPr>
          <w:rFonts w:ascii="Times New Roman" w:hAnsi="Times New Roman" w:eastAsia="仿宋_GB2312" w:cs="Times New Roman"/>
          <w:sz w:val="34"/>
          <w:szCs w:val="34"/>
          <w:highlight w:val="none"/>
        </w:rPr>
        <w:t>0451-85706224</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电子邮箱：</w:t>
      </w:r>
      <w:r>
        <w:rPr>
          <w:rFonts w:ascii="Times New Roman" w:hAnsi="Times New Roman" w:eastAsia="仿宋_GB2312" w:cs="Times New Roman"/>
          <w:sz w:val="34"/>
          <w:szCs w:val="34"/>
          <w:highlight w:val="none"/>
        </w:rPr>
        <w:t>hr_ljbank@163.com</w:t>
      </w:r>
      <w:r>
        <w:rPr>
          <w:rFonts w:hint="eastAsia" w:ascii="Times New Roman" w:hAnsi="Times New Roman" w:eastAsia="仿宋_GB2312" w:cs="Times New Roman"/>
          <w:sz w:val="34"/>
          <w:szCs w:val="34"/>
          <w:highlight w:val="none"/>
        </w:rPr>
        <w:t>，邮件主题请注明</w:t>
      </w:r>
      <w:r>
        <w:rPr>
          <w:rFonts w:ascii="Times New Roman" w:hAnsi="Times New Roman" w:eastAsia="仿宋_GB2312" w:cs="Times New Roman"/>
          <w:sz w:val="34"/>
          <w:szCs w:val="34"/>
          <w:highlight w:val="none"/>
        </w:rPr>
        <w:t>“</w:t>
      </w:r>
      <w:r>
        <w:rPr>
          <w:rFonts w:hint="eastAsia" w:ascii="Times New Roman" w:hAnsi="Times New Roman" w:eastAsia="仿宋_GB2312" w:cs="Times New Roman"/>
          <w:sz w:val="34"/>
          <w:szCs w:val="34"/>
          <w:highlight w:val="none"/>
        </w:rPr>
        <w:t>一站式招聘</w:t>
      </w:r>
      <w:r>
        <w:rPr>
          <w:rFonts w:ascii="Times New Roman" w:hAnsi="Times New Roman" w:eastAsia="仿宋_GB2312" w:cs="Times New Roman"/>
          <w:sz w:val="34"/>
          <w:szCs w:val="34"/>
          <w:highlight w:val="none"/>
        </w:rPr>
        <w:t>”</w:t>
      </w:r>
      <w:r>
        <w:rPr>
          <w:rFonts w:hint="eastAsia" w:ascii="Times New Roman" w:hAnsi="Times New Roman" w:eastAsia="仿宋_GB2312" w:cs="Times New Roman"/>
          <w:sz w:val="34"/>
          <w:szCs w:val="34"/>
          <w:highlight w:val="none"/>
        </w:rPr>
        <w:t>字样</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通信地址：黑龙江省哈尔滨市道里区友谊路</w:t>
      </w:r>
      <w:r>
        <w:rPr>
          <w:rFonts w:ascii="Times New Roman" w:hAnsi="Times New Roman" w:eastAsia="仿宋_GB2312" w:cs="Times New Roman"/>
          <w:sz w:val="34"/>
          <w:szCs w:val="34"/>
          <w:highlight w:val="none"/>
        </w:rPr>
        <w:t>436</w:t>
      </w:r>
      <w:r>
        <w:rPr>
          <w:rFonts w:hint="eastAsia" w:ascii="Times New Roman" w:hAnsi="Times New Roman" w:eastAsia="仿宋_GB2312" w:cs="Times New Roman"/>
          <w:sz w:val="34"/>
          <w:szCs w:val="34"/>
          <w:highlight w:val="none"/>
        </w:rPr>
        <w:t>号</w:t>
      </w:r>
    </w:p>
    <w:p>
      <w:pPr>
        <w:spacing w:line="600" w:lineRule="exact"/>
        <w:ind w:firstLine="680" w:firstLineChars="200"/>
        <w:rPr>
          <w:rFonts w:ascii="Times New Roman" w:hAnsi="Times New Roman" w:eastAsia="仿宋_GB2312" w:cs="Times New Roman"/>
          <w:sz w:val="34"/>
          <w:szCs w:val="34"/>
          <w:highlight w:val="none"/>
        </w:rPr>
      </w:pPr>
      <w:r>
        <w:rPr>
          <w:rFonts w:hint="eastAsia" w:ascii="Times New Roman" w:hAnsi="Times New Roman" w:eastAsia="仿宋_GB2312" w:cs="Times New Roman"/>
          <w:sz w:val="34"/>
          <w:szCs w:val="34"/>
          <w:highlight w:val="none"/>
        </w:rPr>
        <w:t>邮政编码：</w:t>
      </w:r>
      <w:r>
        <w:rPr>
          <w:rFonts w:ascii="Times New Roman" w:hAnsi="Times New Roman" w:eastAsia="仿宋_GB2312" w:cs="Times New Roman"/>
          <w:sz w:val="34"/>
          <w:szCs w:val="34"/>
          <w:highlight w:val="none"/>
        </w:rPr>
        <w:t>150018</w:t>
      </w:r>
    </w:p>
    <w:p>
      <w:pPr>
        <w:spacing w:line="600" w:lineRule="exact"/>
        <w:ind w:firstLine="680" w:firstLineChars="200"/>
        <w:rPr>
          <w:rFonts w:ascii="Times New Roman" w:hAnsi="Times New Roman" w:eastAsia="仿宋_GB2312" w:cs="Times New Roman"/>
          <w:sz w:val="34"/>
          <w:szCs w:val="34"/>
          <w:highlight w:val="none"/>
        </w:rPr>
      </w:pPr>
    </w:p>
    <w:p>
      <w:pPr>
        <w:spacing w:line="600" w:lineRule="exact"/>
        <w:ind w:firstLine="680" w:firstLineChars="200"/>
        <w:rPr>
          <w:rFonts w:ascii="Times New Roman" w:hAnsi="Times New Roman" w:eastAsia="仿宋_GB2312" w:cs="Times New Roman"/>
          <w:sz w:val="34"/>
          <w:szCs w:val="34"/>
        </w:rPr>
      </w:pPr>
    </w:p>
    <w:sectPr>
      <w:footerReference r:id="rId3" w:type="default"/>
      <w:pgSz w:w="11906" w:h="16838"/>
      <w:pgMar w:top="1701" w:right="1701" w:bottom="1701"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74ED"/>
    <w:rsid w:val="000219E1"/>
    <w:rsid w:val="00035855"/>
    <w:rsid w:val="0004006F"/>
    <w:rsid w:val="000425F2"/>
    <w:rsid w:val="000438AF"/>
    <w:rsid w:val="0006318C"/>
    <w:rsid w:val="00067777"/>
    <w:rsid w:val="0008553A"/>
    <w:rsid w:val="000A1775"/>
    <w:rsid w:val="000A2407"/>
    <w:rsid w:val="000C12A0"/>
    <w:rsid w:val="000C1D63"/>
    <w:rsid w:val="000D0B6E"/>
    <w:rsid w:val="000E3D8D"/>
    <w:rsid w:val="001204CC"/>
    <w:rsid w:val="00130AE1"/>
    <w:rsid w:val="001527E5"/>
    <w:rsid w:val="0017074D"/>
    <w:rsid w:val="0017491E"/>
    <w:rsid w:val="001979CE"/>
    <w:rsid w:val="001A3DE8"/>
    <w:rsid w:val="001B15EC"/>
    <w:rsid w:val="001C3E8B"/>
    <w:rsid w:val="001D2939"/>
    <w:rsid w:val="001D7A05"/>
    <w:rsid w:val="00200D1D"/>
    <w:rsid w:val="00234061"/>
    <w:rsid w:val="002452E4"/>
    <w:rsid w:val="002549D1"/>
    <w:rsid w:val="002604AC"/>
    <w:rsid w:val="002A0826"/>
    <w:rsid w:val="002A15D1"/>
    <w:rsid w:val="002A2650"/>
    <w:rsid w:val="002B56B9"/>
    <w:rsid w:val="002C051C"/>
    <w:rsid w:val="002D73D6"/>
    <w:rsid w:val="002E4156"/>
    <w:rsid w:val="002F5986"/>
    <w:rsid w:val="002F75C9"/>
    <w:rsid w:val="00354E10"/>
    <w:rsid w:val="00367E63"/>
    <w:rsid w:val="0039370C"/>
    <w:rsid w:val="003D0C1B"/>
    <w:rsid w:val="003F322A"/>
    <w:rsid w:val="00432432"/>
    <w:rsid w:val="00440B14"/>
    <w:rsid w:val="00463BA7"/>
    <w:rsid w:val="0048368E"/>
    <w:rsid w:val="00483711"/>
    <w:rsid w:val="004969B1"/>
    <w:rsid w:val="004E4B4B"/>
    <w:rsid w:val="0051487E"/>
    <w:rsid w:val="005303A7"/>
    <w:rsid w:val="00544B4D"/>
    <w:rsid w:val="00552FD5"/>
    <w:rsid w:val="00563924"/>
    <w:rsid w:val="00582B42"/>
    <w:rsid w:val="00595608"/>
    <w:rsid w:val="005C171F"/>
    <w:rsid w:val="005D4F8A"/>
    <w:rsid w:val="005F7B23"/>
    <w:rsid w:val="006263FC"/>
    <w:rsid w:val="00645714"/>
    <w:rsid w:val="006510A1"/>
    <w:rsid w:val="00653F94"/>
    <w:rsid w:val="006545E5"/>
    <w:rsid w:val="006555C7"/>
    <w:rsid w:val="0067546B"/>
    <w:rsid w:val="006839F3"/>
    <w:rsid w:val="00684622"/>
    <w:rsid w:val="006A1250"/>
    <w:rsid w:val="006B6B63"/>
    <w:rsid w:val="006C140E"/>
    <w:rsid w:val="006D4474"/>
    <w:rsid w:val="006F3D24"/>
    <w:rsid w:val="00723998"/>
    <w:rsid w:val="00727242"/>
    <w:rsid w:val="007306AD"/>
    <w:rsid w:val="00773BCE"/>
    <w:rsid w:val="00775FF9"/>
    <w:rsid w:val="007860D6"/>
    <w:rsid w:val="00811131"/>
    <w:rsid w:val="00812CE4"/>
    <w:rsid w:val="00813CA5"/>
    <w:rsid w:val="00816F83"/>
    <w:rsid w:val="0082427A"/>
    <w:rsid w:val="0085468C"/>
    <w:rsid w:val="008568C6"/>
    <w:rsid w:val="00860141"/>
    <w:rsid w:val="0086423A"/>
    <w:rsid w:val="0086698C"/>
    <w:rsid w:val="008748C8"/>
    <w:rsid w:val="008826D3"/>
    <w:rsid w:val="008A18AA"/>
    <w:rsid w:val="008E39D0"/>
    <w:rsid w:val="008F5B48"/>
    <w:rsid w:val="009002B9"/>
    <w:rsid w:val="00921562"/>
    <w:rsid w:val="00933DE7"/>
    <w:rsid w:val="00940A62"/>
    <w:rsid w:val="00942CD3"/>
    <w:rsid w:val="00954EDF"/>
    <w:rsid w:val="00975582"/>
    <w:rsid w:val="00982A7E"/>
    <w:rsid w:val="009906BC"/>
    <w:rsid w:val="009A00F4"/>
    <w:rsid w:val="009D74ED"/>
    <w:rsid w:val="009F588C"/>
    <w:rsid w:val="00A01367"/>
    <w:rsid w:val="00A079D2"/>
    <w:rsid w:val="00A43715"/>
    <w:rsid w:val="00A44AD4"/>
    <w:rsid w:val="00A46F63"/>
    <w:rsid w:val="00A51706"/>
    <w:rsid w:val="00A56EFB"/>
    <w:rsid w:val="00A57BAE"/>
    <w:rsid w:val="00A74DF9"/>
    <w:rsid w:val="00A82DB9"/>
    <w:rsid w:val="00AA2F52"/>
    <w:rsid w:val="00AA766D"/>
    <w:rsid w:val="00AB73EB"/>
    <w:rsid w:val="00AC4EFF"/>
    <w:rsid w:val="00AE7AE6"/>
    <w:rsid w:val="00AF7DB5"/>
    <w:rsid w:val="00B00F72"/>
    <w:rsid w:val="00B06A61"/>
    <w:rsid w:val="00B15CB5"/>
    <w:rsid w:val="00B557AC"/>
    <w:rsid w:val="00B570DE"/>
    <w:rsid w:val="00B612B2"/>
    <w:rsid w:val="00B67370"/>
    <w:rsid w:val="00B719B9"/>
    <w:rsid w:val="00BA54DB"/>
    <w:rsid w:val="00BC6B2B"/>
    <w:rsid w:val="00BC79D8"/>
    <w:rsid w:val="00BE3A8C"/>
    <w:rsid w:val="00C06BFC"/>
    <w:rsid w:val="00C709BB"/>
    <w:rsid w:val="00C84FD4"/>
    <w:rsid w:val="00CE406F"/>
    <w:rsid w:val="00CE53AD"/>
    <w:rsid w:val="00D04045"/>
    <w:rsid w:val="00D2242F"/>
    <w:rsid w:val="00D404A7"/>
    <w:rsid w:val="00D73BCD"/>
    <w:rsid w:val="00D759DC"/>
    <w:rsid w:val="00D80708"/>
    <w:rsid w:val="00DB0A93"/>
    <w:rsid w:val="00DB22FC"/>
    <w:rsid w:val="00DE0831"/>
    <w:rsid w:val="00DE096D"/>
    <w:rsid w:val="00E2000C"/>
    <w:rsid w:val="00E51334"/>
    <w:rsid w:val="00E67EAF"/>
    <w:rsid w:val="00E76905"/>
    <w:rsid w:val="00E865BC"/>
    <w:rsid w:val="00ED423B"/>
    <w:rsid w:val="00EF111B"/>
    <w:rsid w:val="00EF4680"/>
    <w:rsid w:val="00F07ADB"/>
    <w:rsid w:val="00F67653"/>
    <w:rsid w:val="00F9248A"/>
    <w:rsid w:val="00FB62EE"/>
    <w:rsid w:val="06751D26"/>
    <w:rsid w:val="186B2C46"/>
    <w:rsid w:val="2B5A5433"/>
    <w:rsid w:val="2DFC1A41"/>
    <w:rsid w:val="442F4453"/>
    <w:rsid w:val="4BD45456"/>
    <w:rsid w:val="57497A0B"/>
    <w:rsid w:val="6CE11911"/>
    <w:rsid w:val="6D880A79"/>
    <w:rsid w:val="6F0C258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qFormat/>
    <w:uiPriority w:val="99"/>
    <w:rPr>
      <w:rFonts w:cs="Times New Roman"/>
      <w:sz w:val="18"/>
      <w:szCs w:val="18"/>
    </w:rPr>
  </w:style>
  <w:style w:type="paragraph" w:styleId="3">
    <w:name w:val="footer"/>
    <w:basedOn w:val="1"/>
    <w:link w:val="9"/>
    <w:qFormat/>
    <w:uiPriority w:val="99"/>
    <w:pPr>
      <w:tabs>
        <w:tab w:val="center" w:pos="4153"/>
        <w:tab w:val="right" w:pos="8306"/>
      </w:tabs>
      <w:snapToGrid w:val="0"/>
      <w:jc w:val="left"/>
    </w:pPr>
    <w:rPr>
      <w:rFonts w:ascii="Times New Roman" w:hAnsi="Times New Roman" w:cs="Times New Roman"/>
      <w:kern w:val="0"/>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rFonts w:ascii="Times New Roman" w:hAnsi="Times New Roman" w:cs="Times New Roman"/>
      <w:kern w:val="0"/>
      <w:sz w:val="18"/>
      <w:szCs w:val="18"/>
    </w:rPr>
  </w:style>
  <w:style w:type="character" w:styleId="6">
    <w:name w:val="Hyperlink"/>
    <w:basedOn w:val="5"/>
    <w:qFormat/>
    <w:uiPriority w:val="99"/>
    <w:rPr>
      <w:rFonts w:cs="Times New Roman"/>
      <w:color w:val="0000FF"/>
      <w:u w:val="single"/>
    </w:rPr>
  </w:style>
  <w:style w:type="character" w:customStyle="1" w:styleId="8">
    <w:name w:val="Balloon Text Char"/>
    <w:basedOn w:val="5"/>
    <w:link w:val="2"/>
    <w:semiHidden/>
    <w:qFormat/>
    <w:locked/>
    <w:uiPriority w:val="99"/>
    <w:rPr>
      <w:rFonts w:ascii="Calibri" w:hAnsi="Calibri" w:cs="Times New Roman"/>
      <w:kern w:val="2"/>
      <w:sz w:val="18"/>
    </w:rPr>
  </w:style>
  <w:style w:type="character" w:customStyle="1" w:styleId="9">
    <w:name w:val="Footer Char"/>
    <w:basedOn w:val="5"/>
    <w:link w:val="3"/>
    <w:qFormat/>
    <w:locked/>
    <w:uiPriority w:val="99"/>
    <w:rPr>
      <w:rFonts w:cs="Times New Roman"/>
      <w:sz w:val="18"/>
    </w:rPr>
  </w:style>
  <w:style w:type="character" w:customStyle="1" w:styleId="10">
    <w:name w:val="Header Char"/>
    <w:basedOn w:val="5"/>
    <w:link w:val="4"/>
    <w:qFormat/>
    <w:locked/>
    <w:uiPriority w:val="99"/>
    <w:rPr>
      <w:rFonts w:cs="Times New Roman"/>
      <w:sz w:val="18"/>
    </w:rPr>
  </w:style>
  <w:style w:type="paragraph" w:customStyle="1" w:styleId="11">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Lenovo</Company>
  <Pages>3</Pages>
  <Words>135</Words>
  <Characters>776</Characters>
  <Lines>0</Lines>
  <Paragraphs>0</Paragraphs>
  <TotalTime>0</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2018-10-24T07:23:00Z</dcterms:created>
  <dc:creator>dell</dc:creator>
  <cp:lastModifiedBy>组指</cp:lastModifiedBy>
  <cp:lastPrinted>2017-12-04T02:36:00Z</cp:lastPrinted>
  <dcterms:modified xsi:type="dcterms:W3CDTF">2018-10-31T08:34:20Z</dcterms:modified>
  <dc:title>龙江银行2017年度管理培训生招聘公告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