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5D33F9">
      <w:pPr>
        <w:widowControl/>
        <w:spacing w:line="560"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附件</w:t>
      </w:r>
    </w:p>
    <w:p w:rsidR="00400240" w:rsidRDefault="00400240">
      <w:pPr>
        <w:widowControl/>
        <w:spacing w:line="560" w:lineRule="exact"/>
        <w:rPr>
          <w:rFonts w:ascii="方正小标宋简体" w:eastAsia="方正小标宋简体" w:hAnsi="方正小标宋简体" w:cs="方正小标宋简体"/>
          <w:color w:val="000000"/>
          <w:kern w:val="0"/>
          <w:sz w:val="44"/>
          <w:szCs w:val="44"/>
          <w:lang w:bidi="ar"/>
        </w:rPr>
      </w:pPr>
    </w:p>
    <w:p w:rsidR="00400240" w:rsidRDefault="005D33F9">
      <w:pPr>
        <w:widowControl/>
        <w:spacing w:line="56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2021</w:t>
      </w:r>
      <w:r>
        <w:rPr>
          <w:rFonts w:ascii="方正小标宋简体" w:eastAsia="方正小标宋简体" w:hAnsi="方正小标宋简体" w:cs="方正小标宋简体" w:hint="eastAsia"/>
          <w:color w:val="000000"/>
          <w:kern w:val="0"/>
          <w:sz w:val="44"/>
          <w:szCs w:val="44"/>
          <w:lang w:bidi="ar"/>
        </w:rPr>
        <w:t>年度山东省高校军事课教学展示方案</w:t>
      </w:r>
    </w:p>
    <w:p w:rsidR="00400240" w:rsidRDefault="00400240">
      <w:pPr>
        <w:widowControl/>
        <w:spacing w:line="560" w:lineRule="exact"/>
        <w:ind w:firstLineChars="200" w:firstLine="640"/>
        <w:rPr>
          <w:rFonts w:ascii="黑体" w:eastAsia="黑体" w:hAnsi="黑体" w:cs="黑体"/>
          <w:kern w:val="0"/>
          <w:sz w:val="32"/>
          <w:szCs w:val="32"/>
        </w:rPr>
      </w:pPr>
    </w:p>
    <w:p w:rsidR="00400240" w:rsidRDefault="005D33F9">
      <w:pPr>
        <w:widowControl/>
        <w:spacing w:line="560" w:lineRule="exact"/>
        <w:ind w:firstLineChars="200" w:firstLine="640"/>
        <w:rPr>
          <w:rFonts w:ascii="黑体" w:eastAsia="黑体" w:hAnsi="黑体" w:cs="黑体"/>
          <w:sz w:val="32"/>
          <w:szCs w:val="32"/>
        </w:rPr>
      </w:pPr>
      <w:r>
        <w:rPr>
          <w:rFonts w:ascii="黑体" w:eastAsia="黑体" w:hAnsi="黑体" w:cs="黑体" w:hint="eastAsia"/>
          <w:kern w:val="0"/>
          <w:sz w:val="32"/>
          <w:szCs w:val="32"/>
        </w:rPr>
        <w:t>一、组织领导</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主办单位：山东省教育厅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山东省军区战备建设局</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承办单位：临沂青少年示范性综合实践基地</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协办单位：临沂大学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山东省学校国防教育协会</w:t>
      </w:r>
    </w:p>
    <w:p w:rsidR="00400240" w:rsidRDefault="005D33F9">
      <w:pPr>
        <w:widowControl/>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olor w:val="000000"/>
          <w:kern w:val="0"/>
          <w:sz w:val="32"/>
          <w:szCs w:val="32"/>
          <w:lang w:bidi="ar"/>
        </w:rPr>
        <w:t>二、展示内容</w:t>
      </w:r>
      <w:r>
        <w:rPr>
          <w:rFonts w:ascii="仿宋_GB2312" w:eastAsia="仿宋_GB2312" w:hAnsi="仿宋_GB2312" w:cs="仿宋_GB2312" w:hint="eastAsia"/>
          <w:color w:val="000000"/>
          <w:kern w:val="0"/>
          <w:sz w:val="32"/>
          <w:szCs w:val="32"/>
          <w:lang w:bidi="ar"/>
        </w:rPr>
        <w:t xml:space="preserve"> </w:t>
      </w:r>
    </w:p>
    <w:p w:rsidR="00400240" w:rsidRDefault="005D33F9">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（一）军事理论教学。落实《普通高等学校军事课教学大纲》，以中国国防、国家安全、军事思想、现代战争、信息化装备等内容为重点，组织军事课教师</w:t>
      </w:r>
      <w:proofErr w:type="gramStart"/>
      <w:r>
        <w:rPr>
          <w:rFonts w:ascii="仿宋_GB2312" w:eastAsia="仿宋_GB2312" w:hAnsi="仿宋_GB2312" w:cs="仿宋_GB2312" w:hint="eastAsia"/>
          <w:color w:val="000000"/>
          <w:kern w:val="0"/>
          <w:sz w:val="32"/>
          <w:szCs w:val="32"/>
          <w:lang w:bidi="ar"/>
        </w:rPr>
        <w:t>进行微课教学</w:t>
      </w:r>
      <w:proofErr w:type="gramEnd"/>
      <w:r>
        <w:rPr>
          <w:rFonts w:ascii="仿宋_GB2312" w:eastAsia="仿宋_GB2312" w:hAnsi="仿宋_GB2312" w:cs="仿宋_GB2312" w:hint="eastAsia"/>
          <w:color w:val="000000"/>
          <w:kern w:val="0"/>
          <w:sz w:val="32"/>
          <w:szCs w:val="32"/>
          <w:lang w:bidi="ar"/>
        </w:rPr>
        <w:t>展示。</w:t>
      </w:r>
      <w:r>
        <w:rPr>
          <w:rFonts w:ascii="仿宋_GB2312" w:eastAsia="仿宋_GB2312" w:hAnsi="仿宋_GB2312" w:cs="仿宋_GB2312" w:hint="eastAsia"/>
          <w:color w:val="000000"/>
          <w:kern w:val="0"/>
          <w:sz w:val="32"/>
          <w:szCs w:val="32"/>
          <w:lang w:bidi="ar"/>
        </w:rPr>
        <w:t xml:space="preserve"> </w:t>
      </w:r>
    </w:p>
    <w:p w:rsidR="00400240" w:rsidRDefault="005D33F9">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（二）军事技能训练。组织学生开展识图用图、电磁频谱监测、战场医疗救护等军事训练展示。</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（三）爱国主义演讲。围绕立德树人根本任务和强军目标根本要求，增强国防观念、国家安全意识和忧患危机意识，组织学生进行以弘扬爱国主义精神、传承红色基因为主旨的演讲展示。</w:t>
      </w:r>
    </w:p>
    <w:p w:rsidR="00400240" w:rsidRDefault="005D33F9">
      <w:pPr>
        <w:widowControl/>
        <w:spacing w:line="560" w:lineRule="exact"/>
        <w:rPr>
          <w:rFonts w:ascii="仿宋_GB2312" w:eastAsia="仿宋_GB2312" w:hAnsi="仿宋_GB2312" w:cs="仿宋_GB2312"/>
          <w:sz w:val="32"/>
          <w:szCs w:val="32"/>
        </w:rPr>
      </w:pP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三、参加人员</w:t>
      </w:r>
      <w:r>
        <w:rPr>
          <w:rFonts w:ascii="仿宋_GB2312" w:eastAsia="仿宋_GB2312" w:hAnsi="仿宋_GB2312" w:cs="仿宋_GB2312" w:hint="eastAsia"/>
          <w:color w:val="000000"/>
          <w:kern w:val="0"/>
          <w:sz w:val="32"/>
          <w:szCs w:val="32"/>
          <w:lang w:bidi="ar"/>
        </w:rPr>
        <w:t xml:space="preserve"> </w:t>
      </w:r>
    </w:p>
    <w:p w:rsidR="00400240" w:rsidRDefault="005D33F9">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每个参加展示活动的高校组织一支队伍参加。设领队</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人，指导教师</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人（其中</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人同时参加军事课</w:t>
      </w:r>
      <w:proofErr w:type="gramStart"/>
      <w:r>
        <w:rPr>
          <w:rFonts w:ascii="仿宋_GB2312" w:eastAsia="仿宋_GB2312" w:hAnsi="仿宋_GB2312" w:cs="仿宋_GB2312" w:hint="eastAsia"/>
          <w:kern w:val="0"/>
          <w:sz w:val="32"/>
          <w:szCs w:val="32"/>
          <w:lang w:bidi="ar"/>
        </w:rPr>
        <w:t>教师微课教学</w:t>
      </w:r>
      <w:proofErr w:type="gramEnd"/>
      <w:r>
        <w:rPr>
          <w:rFonts w:ascii="仿宋_GB2312" w:eastAsia="仿宋_GB2312" w:hAnsi="仿宋_GB2312" w:cs="仿宋_GB2312" w:hint="eastAsia"/>
          <w:kern w:val="0"/>
          <w:sz w:val="32"/>
          <w:szCs w:val="32"/>
          <w:lang w:bidi="ar"/>
        </w:rPr>
        <w:lastRenderedPageBreak/>
        <w:t>展示），</w:t>
      </w:r>
      <w:r>
        <w:rPr>
          <w:rFonts w:ascii="仿宋_GB2312" w:eastAsia="仿宋_GB2312" w:hAnsi="仿宋_GB2312" w:cs="仿宋_GB2312" w:hint="eastAsia"/>
          <w:kern w:val="0"/>
          <w:sz w:val="32"/>
          <w:szCs w:val="32"/>
          <w:lang w:bidi="ar"/>
        </w:rPr>
        <w:t>2019</w:t>
      </w:r>
      <w:r>
        <w:rPr>
          <w:rFonts w:ascii="仿宋_GB2312" w:eastAsia="仿宋_GB2312" w:hAnsi="仿宋_GB2312" w:cs="仿宋_GB2312" w:hint="eastAsia"/>
          <w:kern w:val="0"/>
          <w:sz w:val="32"/>
          <w:szCs w:val="32"/>
          <w:lang w:bidi="ar"/>
        </w:rPr>
        <w:t>年入学并接受过军事训练的在校生男生</w:t>
      </w:r>
      <w:r>
        <w:rPr>
          <w:rFonts w:ascii="仿宋_GB2312" w:eastAsia="仿宋_GB2312" w:hAnsi="仿宋_GB2312" w:cs="仿宋_GB2312" w:hint="eastAsia"/>
          <w:kern w:val="0"/>
          <w:sz w:val="32"/>
          <w:szCs w:val="32"/>
          <w:lang w:bidi="ar"/>
        </w:rPr>
        <w:t>4</w:t>
      </w:r>
      <w:r>
        <w:rPr>
          <w:rFonts w:ascii="仿宋_GB2312" w:eastAsia="仿宋_GB2312" w:hAnsi="仿宋_GB2312" w:cs="仿宋_GB2312" w:hint="eastAsia"/>
          <w:kern w:val="0"/>
          <w:sz w:val="32"/>
          <w:szCs w:val="32"/>
          <w:lang w:bidi="ar"/>
        </w:rPr>
        <w:t>人、女生</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人。</w:t>
      </w:r>
    </w:p>
    <w:p w:rsidR="00400240" w:rsidRDefault="005D33F9">
      <w:pPr>
        <w:widowControl/>
        <w:spacing w:line="56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四、时间地点</w:t>
      </w:r>
    </w:p>
    <w:p w:rsidR="00400240" w:rsidRDefault="005D33F9">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color w:val="000000"/>
          <w:kern w:val="0"/>
          <w:sz w:val="32"/>
          <w:szCs w:val="32"/>
          <w:lang w:bidi="ar"/>
        </w:rPr>
        <w:t>时间：</w:t>
      </w: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20</w:t>
      </w:r>
      <w:r>
        <w:rPr>
          <w:rFonts w:ascii="仿宋_GB2312" w:eastAsia="仿宋_GB2312" w:hAnsi="仿宋_GB2312" w:cs="仿宋_GB2312" w:hint="eastAsia"/>
          <w:color w:val="000000"/>
          <w:kern w:val="0"/>
          <w:sz w:val="32"/>
          <w:szCs w:val="32"/>
          <w:lang w:bidi="ar"/>
        </w:rPr>
        <w:t>日—</w:t>
      </w: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23</w:t>
      </w:r>
      <w:r>
        <w:rPr>
          <w:rFonts w:ascii="仿宋_GB2312" w:eastAsia="仿宋_GB2312" w:hAnsi="仿宋_GB2312" w:cs="仿宋_GB2312" w:hint="eastAsia"/>
          <w:kern w:val="0"/>
          <w:sz w:val="32"/>
          <w:szCs w:val="32"/>
          <w:lang w:bidi="ar"/>
        </w:rPr>
        <w:t>日</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地点：临沂市青少年示范性综合实践基地（临沂市河东区厦门路东首）</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报到时间：</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20</w:t>
      </w:r>
      <w:r>
        <w:rPr>
          <w:rFonts w:ascii="仿宋_GB2312" w:eastAsia="仿宋_GB2312" w:hAnsi="仿宋_GB2312" w:cs="仿宋_GB2312" w:hint="eastAsia"/>
          <w:color w:val="000000"/>
          <w:kern w:val="0"/>
          <w:sz w:val="32"/>
          <w:szCs w:val="32"/>
          <w:lang w:bidi="ar"/>
        </w:rPr>
        <w:t>日下午</w:t>
      </w:r>
      <w:r>
        <w:rPr>
          <w:rFonts w:ascii="仿宋_GB2312" w:eastAsia="仿宋_GB2312" w:hAnsi="仿宋_GB2312" w:cs="仿宋_GB2312" w:hint="eastAsia"/>
          <w:color w:val="000000"/>
          <w:kern w:val="0"/>
          <w:sz w:val="32"/>
          <w:szCs w:val="32"/>
          <w:lang w:bidi="ar"/>
        </w:rPr>
        <w:t>2:30</w:t>
      </w:r>
      <w:r>
        <w:rPr>
          <w:rFonts w:ascii="仿宋_GB2312" w:eastAsia="仿宋_GB2312" w:hAnsi="仿宋_GB2312" w:cs="仿宋_GB2312" w:hint="eastAsia"/>
          <w:color w:val="000000"/>
          <w:kern w:val="0"/>
          <w:sz w:val="32"/>
          <w:szCs w:val="32"/>
          <w:lang w:bidi="ar"/>
        </w:rPr>
        <w:t>前报到，下午</w:t>
      </w:r>
      <w:r>
        <w:rPr>
          <w:rFonts w:ascii="仿宋_GB2312" w:eastAsia="仿宋_GB2312" w:hAnsi="仿宋_GB2312" w:cs="仿宋_GB2312" w:hint="eastAsia"/>
          <w:color w:val="000000"/>
          <w:kern w:val="0"/>
          <w:sz w:val="32"/>
          <w:szCs w:val="32"/>
          <w:lang w:bidi="ar"/>
        </w:rPr>
        <w:t>3:00</w:t>
      </w:r>
      <w:r>
        <w:rPr>
          <w:rFonts w:ascii="仿宋_GB2312" w:eastAsia="仿宋_GB2312" w:hAnsi="仿宋_GB2312" w:cs="仿宋_GB2312" w:hint="eastAsia"/>
          <w:color w:val="000000"/>
          <w:kern w:val="0"/>
          <w:sz w:val="32"/>
          <w:szCs w:val="32"/>
          <w:lang w:bidi="ar"/>
        </w:rPr>
        <w:t>将进行展示培训。</w:t>
      </w:r>
    </w:p>
    <w:p w:rsidR="00400240" w:rsidRDefault="005D33F9">
      <w:pPr>
        <w:widowControl/>
        <w:spacing w:line="56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五、有关要求</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（一）军事课教学展</w:t>
      </w:r>
      <w:r>
        <w:rPr>
          <w:rFonts w:ascii="仿宋_GB2312" w:eastAsia="仿宋_GB2312" w:hAnsi="仿宋_GB2312" w:cs="仿宋_GB2312" w:hint="eastAsia"/>
          <w:kern w:val="0"/>
          <w:sz w:val="32"/>
          <w:szCs w:val="32"/>
          <w:lang w:bidi="ar"/>
        </w:rPr>
        <w:t>示活动列入《</w:t>
      </w:r>
      <w:r>
        <w:rPr>
          <w:rFonts w:ascii="仿宋_GB2312" w:eastAsia="仿宋_GB2312" w:hAnsi="仿宋_GB2312" w:cs="仿宋_GB2312" w:hint="eastAsia"/>
          <w:kern w:val="0"/>
          <w:sz w:val="32"/>
          <w:szCs w:val="32"/>
          <w:lang w:bidi="ar"/>
        </w:rPr>
        <w:t>2021</w:t>
      </w:r>
      <w:r>
        <w:rPr>
          <w:rFonts w:ascii="仿宋_GB2312" w:eastAsia="仿宋_GB2312" w:hAnsi="仿宋_GB2312" w:cs="仿宋_GB2312" w:hint="eastAsia"/>
          <w:kern w:val="0"/>
          <w:sz w:val="32"/>
          <w:szCs w:val="32"/>
          <w:lang w:bidi="ar"/>
        </w:rPr>
        <w:t>年度山东省学生军事训练工作要点》，展示结果由</w:t>
      </w:r>
      <w:r>
        <w:rPr>
          <w:rFonts w:ascii="仿宋_GB2312" w:eastAsia="仿宋_GB2312" w:hAnsi="仿宋_GB2312" w:cs="仿宋_GB2312" w:hint="eastAsia"/>
          <w:color w:val="000000"/>
          <w:kern w:val="0"/>
          <w:sz w:val="32"/>
          <w:szCs w:val="32"/>
          <w:lang w:bidi="ar"/>
        </w:rPr>
        <w:t>省教育厅予以公布。活动所需经费由省教育厅专项经费列支，交通费、人身意外伤害保险等由参加人员所</w:t>
      </w:r>
      <w:r>
        <w:rPr>
          <w:rFonts w:ascii="仿宋_GB2312" w:eastAsia="仿宋_GB2312" w:hAnsi="仿宋_GB2312" w:cs="仿宋_GB2312" w:hint="eastAsia"/>
          <w:kern w:val="0"/>
          <w:sz w:val="32"/>
          <w:szCs w:val="32"/>
          <w:lang w:bidi="ar"/>
        </w:rPr>
        <w:t>在学校承</w:t>
      </w:r>
      <w:r>
        <w:rPr>
          <w:rFonts w:ascii="仿宋_GB2312" w:eastAsia="仿宋_GB2312" w:hAnsi="仿宋_GB2312" w:cs="仿宋_GB2312" w:hint="eastAsia"/>
          <w:color w:val="000000"/>
          <w:kern w:val="0"/>
          <w:sz w:val="32"/>
          <w:szCs w:val="32"/>
          <w:lang w:bidi="ar"/>
        </w:rPr>
        <w:t>担。</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（二）各高校要把军事课教学展示作为落实《中华人民共和国国防法》、《中华人民共和国兵役法》和《中华人民共和国教育法》，创新学生军事训练形式、内容和方法的重要抓手，周密安排、科学筹划，确保</w:t>
      </w:r>
      <w:bookmarkStart w:id="0" w:name="_GoBack"/>
      <w:bookmarkEnd w:id="0"/>
      <w:r>
        <w:rPr>
          <w:rFonts w:ascii="仿宋_GB2312" w:eastAsia="仿宋_GB2312" w:hAnsi="仿宋_GB2312" w:cs="仿宋_GB2312" w:hint="eastAsia"/>
          <w:color w:val="000000"/>
          <w:kern w:val="0"/>
          <w:sz w:val="32"/>
          <w:szCs w:val="32"/>
          <w:lang w:bidi="ar"/>
        </w:rPr>
        <w:t>工作有序开展。要做好参训学生的安全教育和管理工作，</w:t>
      </w:r>
      <w:r w:rsidRPr="005D33F9">
        <w:rPr>
          <w:rFonts w:ascii="仿宋_GB2312" w:eastAsia="仿宋_GB2312" w:hAnsi="仿宋_GB2312" w:cs="仿宋_GB2312" w:hint="eastAsia"/>
          <w:color w:val="FF0000"/>
          <w:kern w:val="0"/>
          <w:sz w:val="32"/>
          <w:szCs w:val="32"/>
          <w:lang w:bidi="ar"/>
        </w:rPr>
        <w:t>事前应征得参训学</w:t>
      </w:r>
      <w:r w:rsidRPr="005D33F9">
        <w:rPr>
          <w:rFonts w:ascii="仿宋_GB2312" w:eastAsia="仿宋_GB2312" w:hAnsi="仿宋_GB2312" w:cs="仿宋_GB2312" w:hint="eastAsia"/>
          <w:color w:val="FF0000"/>
          <w:kern w:val="0"/>
          <w:sz w:val="32"/>
          <w:szCs w:val="32"/>
          <w:lang w:bidi="ar"/>
        </w:rPr>
        <w:t>生及家长的书面同意</w:t>
      </w:r>
      <w:r>
        <w:rPr>
          <w:rFonts w:ascii="仿宋_GB2312" w:eastAsia="仿宋_GB2312" w:hAnsi="仿宋_GB2312" w:cs="仿宋_GB2312" w:hint="eastAsia"/>
          <w:color w:val="000000"/>
          <w:kern w:val="0"/>
          <w:sz w:val="32"/>
          <w:szCs w:val="32"/>
          <w:lang w:bidi="ar"/>
        </w:rPr>
        <w:t>，统一为学生购买人身意外伤害保险。</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（三）参加教学展示活动的领队、指导教师和学生</w:t>
      </w:r>
      <w:proofErr w:type="gramStart"/>
      <w:r>
        <w:rPr>
          <w:rFonts w:ascii="仿宋_GB2312" w:eastAsia="仿宋_GB2312" w:hAnsi="仿宋_GB2312" w:cs="仿宋_GB2312" w:hint="eastAsia"/>
          <w:color w:val="000000"/>
          <w:kern w:val="0"/>
          <w:sz w:val="32"/>
          <w:szCs w:val="32"/>
          <w:lang w:bidi="ar"/>
        </w:rPr>
        <w:t>统一着</w:t>
      </w:r>
      <w:proofErr w:type="gramEnd"/>
      <w:r>
        <w:rPr>
          <w:rFonts w:ascii="仿宋_GB2312" w:eastAsia="仿宋_GB2312" w:hAnsi="仿宋_GB2312" w:cs="仿宋_GB2312" w:hint="eastAsia"/>
          <w:color w:val="000000"/>
          <w:kern w:val="0"/>
          <w:sz w:val="32"/>
          <w:szCs w:val="32"/>
          <w:lang w:bidi="ar"/>
        </w:rPr>
        <w:t>07</w:t>
      </w:r>
      <w:r>
        <w:rPr>
          <w:rFonts w:ascii="仿宋_GB2312" w:eastAsia="仿宋_GB2312" w:hAnsi="仿宋_GB2312" w:cs="仿宋_GB2312" w:hint="eastAsia"/>
          <w:color w:val="000000"/>
          <w:kern w:val="0"/>
          <w:sz w:val="32"/>
          <w:szCs w:val="32"/>
          <w:lang w:bidi="ar"/>
        </w:rPr>
        <w:t>式陆军林地迷彩服，</w:t>
      </w:r>
      <w:r>
        <w:rPr>
          <w:rFonts w:ascii="仿宋_GB2312" w:eastAsia="仿宋_GB2312" w:hAnsi="仿宋_GB2312" w:cs="仿宋_GB2312" w:hint="eastAsia"/>
          <w:color w:val="000000"/>
          <w:kern w:val="0"/>
          <w:sz w:val="32"/>
          <w:szCs w:val="32"/>
          <w:lang w:bidi="ar"/>
        </w:rPr>
        <w:t>07</w:t>
      </w:r>
      <w:r>
        <w:rPr>
          <w:rFonts w:ascii="仿宋_GB2312" w:eastAsia="仿宋_GB2312" w:hAnsi="仿宋_GB2312" w:cs="仿宋_GB2312" w:hint="eastAsia"/>
          <w:color w:val="000000"/>
          <w:kern w:val="0"/>
          <w:sz w:val="32"/>
          <w:szCs w:val="32"/>
          <w:lang w:bidi="ar"/>
        </w:rPr>
        <w:t>式短袖体能训练服，扎编织外腰带，</w:t>
      </w:r>
      <w:r>
        <w:rPr>
          <w:rFonts w:ascii="仿宋_GB2312" w:eastAsia="仿宋_GB2312" w:hAnsi="仿宋_GB2312" w:cs="仿宋_GB2312" w:hint="eastAsia"/>
          <w:color w:val="000000"/>
          <w:kern w:val="0"/>
          <w:sz w:val="32"/>
          <w:szCs w:val="32"/>
          <w:lang w:bidi="ar"/>
        </w:rPr>
        <w:t>07A</w:t>
      </w:r>
      <w:r>
        <w:rPr>
          <w:rFonts w:ascii="仿宋_GB2312" w:eastAsia="仿宋_GB2312" w:hAnsi="仿宋_GB2312" w:cs="仿宋_GB2312" w:hint="eastAsia"/>
          <w:color w:val="000000"/>
          <w:kern w:val="0"/>
          <w:sz w:val="32"/>
          <w:szCs w:val="32"/>
          <w:lang w:bidi="ar"/>
        </w:rPr>
        <w:t>迷彩鞋，以上服装请各代表队自行准备。</w:t>
      </w:r>
    </w:p>
    <w:p w:rsidR="00400240" w:rsidRDefault="005D33F9">
      <w:pPr>
        <w:widowControl/>
        <w:spacing w:line="560"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（四）参赛各校自带本校校旗一面，规格</w:t>
      </w:r>
      <w:r>
        <w:rPr>
          <w:rFonts w:ascii="仿宋_GB2312" w:eastAsia="仿宋_GB2312" w:hAnsi="仿宋_GB2312" w:cs="仿宋_GB2312" w:hint="eastAsia"/>
          <w:color w:val="000000"/>
          <w:kern w:val="0"/>
          <w:sz w:val="32"/>
          <w:szCs w:val="32"/>
          <w:lang w:bidi="ar"/>
        </w:rPr>
        <w:t>1.6</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2.4</w:t>
      </w:r>
      <w:r>
        <w:rPr>
          <w:rFonts w:ascii="仿宋_GB2312" w:eastAsia="仿宋_GB2312" w:hAnsi="仿宋_GB2312" w:cs="仿宋_GB2312" w:hint="eastAsia"/>
          <w:color w:val="000000"/>
          <w:kern w:val="0"/>
          <w:sz w:val="32"/>
          <w:szCs w:val="32"/>
          <w:lang w:bidi="ar"/>
        </w:rPr>
        <w:t>米（二号旗）。</w:t>
      </w:r>
    </w:p>
    <w:p w:rsidR="00400240" w:rsidRDefault="005D33F9">
      <w:pPr>
        <w:widowControl/>
        <w:spacing w:line="56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七、其他说明</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（一）领队、指导教师联席会议定于</w:t>
      </w: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20</w:t>
      </w:r>
      <w:r>
        <w:rPr>
          <w:rFonts w:ascii="仿宋_GB2312" w:eastAsia="仿宋_GB2312" w:hAnsi="仿宋_GB2312" w:cs="仿宋_GB2312" w:hint="eastAsia"/>
          <w:color w:val="000000"/>
          <w:kern w:val="0"/>
          <w:sz w:val="32"/>
          <w:szCs w:val="32"/>
          <w:lang w:bidi="ar"/>
        </w:rPr>
        <w:t>日晚召开。</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（二）领队、指导教师联席会议将抽签确定展示活动上场顺序。抽签顺序以组委会邮箱收到各代表队报名表先后顺序为准。</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（三）未尽事宜可咨询组委会联系人。</w:t>
      </w:r>
    </w:p>
    <w:p w:rsidR="00400240" w:rsidRDefault="005D33F9">
      <w:pPr>
        <w:widowControl/>
        <w:spacing w:line="560" w:lineRule="exact"/>
        <w:ind w:firstLineChars="200" w:firstLine="640"/>
        <w:rPr>
          <w:rStyle w:val="a5"/>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组委会联系人及联系方式：</w:t>
      </w:r>
      <w:hyperlink r:id="rId6" w:history="1">
        <w:r>
          <w:rPr>
            <w:rStyle w:val="a5"/>
            <w:rFonts w:ascii="仿宋_GB2312" w:eastAsia="仿宋_GB2312" w:hAnsi="仿宋_GB2312" w:cs="仿宋_GB2312" w:hint="eastAsia"/>
            <w:color w:val="000000"/>
            <w:kern w:val="0"/>
            <w:sz w:val="32"/>
            <w:szCs w:val="32"/>
            <w:lang w:bidi="ar"/>
          </w:rPr>
          <w:t>魏杰，</w:t>
        </w:r>
        <w:r>
          <w:rPr>
            <w:rStyle w:val="a5"/>
            <w:rFonts w:ascii="仿宋_GB2312" w:eastAsia="仿宋_GB2312" w:hAnsi="仿宋_GB2312" w:cs="仿宋_GB2312" w:hint="eastAsia"/>
            <w:color w:val="000000"/>
            <w:kern w:val="0"/>
            <w:sz w:val="32"/>
            <w:szCs w:val="32"/>
            <w:lang w:bidi="ar"/>
          </w:rPr>
          <w:t>15562639715</w:t>
        </w:r>
        <w:r>
          <w:rPr>
            <w:rStyle w:val="a5"/>
            <w:rFonts w:ascii="仿宋_GB2312" w:eastAsia="仿宋_GB2312" w:hAnsi="仿宋_GB2312" w:cs="仿宋_GB2312" w:hint="eastAsia"/>
            <w:color w:val="000000"/>
            <w:kern w:val="0"/>
            <w:sz w:val="32"/>
            <w:szCs w:val="32"/>
            <w:lang w:bidi="ar"/>
          </w:rPr>
          <w:t>，山东省济南市长清区山东中医药大学行政楼</w:t>
        </w:r>
        <w:r>
          <w:rPr>
            <w:rStyle w:val="a5"/>
            <w:rFonts w:ascii="仿宋_GB2312" w:eastAsia="仿宋_GB2312" w:hAnsi="仿宋_GB2312" w:cs="仿宋_GB2312" w:hint="eastAsia"/>
            <w:color w:val="000000"/>
            <w:kern w:val="0"/>
            <w:sz w:val="32"/>
            <w:szCs w:val="32"/>
            <w:lang w:bidi="ar"/>
          </w:rPr>
          <w:t>403</w:t>
        </w:r>
        <w:r>
          <w:rPr>
            <w:rStyle w:val="a5"/>
            <w:rFonts w:ascii="仿宋_GB2312" w:eastAsia="仿宋_GB2312" w:hAnsi="仿宋_GB2312" w:cs="仿宋_GB2312" w:hint="eastAsia"/>
            <w:color w:val="000000"/>
            <w:kern w:val="0"/>
            <w:sz w:val="32"/>
            <w:szCs w:val="32"/>
            <w:lang w:bidi="ar"/>
          </w:rPr>
          <w:t>室。邮箱：</w:t>
        </w:r>
        <w:r>
          <w:rPr>
            <w:rStyle w:val="a5"/>
            <w:rFonts w:ascii="仿宋_GB2312" w:eastAsia="仿宋_GB2312" w:hAnsi="仿宋_GB2312" w:cs="仿宋_GB2312" w:hint="eastAsia"/>
            <w:color w:val="000000"/>
            <w:kern w:val="0"/>
            <w:sz w:val="32"/>
            <w:szCs w:val="32"/>
            <w:lang w:bidi="ar"/>
          </w:rPr>
          <w:t>sdsxxgfjyxh@163.com</w:t>
        </w:r>
        <w:r>
          <w:rPr>
            <w:rStyle w:val="a5"/>
            <w:rFonts w:ascii="仿宋_GB2312" w:eastAsia="仿宋_GB2312" w:hAnsi="仿宋_GB2312" w:cs="仿宋_GB2312" w:hint="eastAsia"/>
            <w:color w:val="000000"/>
            <w:kern w:val="0"/>
            <w:sz w:val="32"/>
            <w:szCs w:val="32"/>
            <w:lang w:bidi="ar"/>
          </w:rPr>
          <w:t>。</w:t>
        </w:r>
      </w:hyperlink>
    </w:p>
    <w:p w:rsidR="00400240" w:rsidRDefault="00400240">
      <w:pPr>
        <w:widowControl/>
        <w:spacing w:line="560" w:lineRule="exact"/>
        <w:ind w:firstLineChars="200" w:firstLine="640"/>
        <w:rPr>
          <w:rFonts w:ascii="仿宋_GB2312" w:eastAsia="仿宋_GB2312" w:hAnsi="仿宋_GB2312" w:cs="仿宋_GB2312"/>
          <w:color w:val="000000"/>
          <w:kern w:val="0"/>
          <w:sz w:val="32"/>
          <w:szCs w:val="32"/>
          <w:lang w:bidi="ar"/>
        </w:rPr>
      </w:pP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附件：</w:t>
      </w:r>
      <w:r>
        <w:rPr>
          <w:rFonts w:ascii="仿宋_GB2312" w:eastAsia="仿宋_GB2312" w:hAnsi="仿宋_GB2312" w:cs="仿宋_GB2312" w:hint="eastAsia"/>
          <w:color w:val="000000"/>
          <w:kern w:val="0"/>
          <w:sz w:val="32"/>
          <w:szCs w:val="32"/>
          <w:lang w:bidi="ar"/>
        </w:rPr>
        <w:t>1.2021</w:t>
      </w:r>
      <w:r>
        <w:rPr>
          <w:rFonts w:ascii="仿宋_GB2312" w:eastAsia="仿宋_GB2312" w:hAnsi="仿宋_GB2312" w:cs="仿宋_GB2312" w:hint="eastAsia"/>
          <w:color w:val="000000"/>
          <w:kern w:val="0"/>
          <w:sz w:val="32"/>
          <w:szCs w:val="32"/>
          <w:lang w:bidi="ar"/>
        </w:rPr>
        <w:t>年度山东省高校军事课教学展示细则</w:t>
      </w:r>
    </w:p>
    <w:p w:rsidR="00400240" w:rsidRDefault="005D33F9">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 xml:space="preserve"> 2.2021</w:t>
      </w:r>
      <w:r>
        <w:rPr>
          <w:rFonts w:ascii="仿宋_GB2312" w:eastAsia="仿宋_GB2312" w:hAnsi="仿宋_GB2312" w:cs="仿宋_GB2312" w:hint="eastAsia"/>
          <w:color w:val="000000"/>
          <w:kern w:val="0"/>
          <w:sz w:val="32"/>
          <w:szCs w:val="32"/>
          <w:lang w:bidi="ar"/>
        </w:rPr>
        <w:t>年度山东省高校军事课教学展示报名表</w:t>
      </w:r>
    </w:p>
    <w:p w:rsidR="00400240" w:rsidRDefault="00400240">
      <w:pPr>
        <w:widowControl/>
        <w:spacing w:line="560" w:lineRule="exact"/>
        <w:ind w:firstLineChars="200" w:firstLine="640"/>
        <w:rPr>
          <w:rFonts w:ascii="仿宋_GB2312" w:eastAsia="仿宋_GB2312" w:hAnsi="仿宋_GB2312" w:cs="仿宋_GB2312"/>
          <w:color w:val="000000"/>
          <w:kern w:val="0"/>
          <w:sz w:val="32"/>
          <w:szCs w:val="32"/>
          <w:lang w:bidi="ar"/>
        </w:rPr>
      </w:pPr>
    </w:p>
    <w:p w:rsidR="00400240" w:rsidRDefault="00400240">
      <w:pPr>
        <w:widowControl/>
        <w:spacing w:line="560" w:lineRule="exact"/>
        <w:ind w:firstLineChars="200" w:firstLine="640"/>
        <w:rPr>
          <w:rFonts w:ascii="仿宋_GB2312" w:eastAsia="仿宋_GB2312" w:hAnsi="仿宋_GB2312" w:cs="仿宋_GB2312"/>
          <w:color w:val="000000"/>
          <w:kern w:val="0"/>
          <w:sz w:val="32"/>
          <w:szCs w:val="32"/>
          <w:lang w:bidi="ar"/>
        </w:rPr>
      </w:pPr>
    </w:p>
    <w:p w:rsidR="00400240" w:rsidRDefault="00400240">
      <w:pPr>
        <w:widowControl/>
        <w:spacing w:line="560" w:lineRule="exact"/>
        <w:ind w:firstLineChars="200" w:firstLine="640"/>
        <w:rPr>
          <w:rFonts w:ascii="仿宋_GB2312" w:eastAsia="仿宋_GB2312" w:hAnsi="仿宋_GB2312" w:cs="仿宋_GB2312"/>
          <w:color w:val="000000"/>
          <w:kern w:val="0"/>
          <w:sz w:val="32"/>
          <w:szCs w:val="32"/>
          <w:lang w:bidi="ar"/>
        </w:rPr>
      </w:pPr>
    </w:p>
    <w:p w:rsidR="00400240" w:rsidRDefault="00400240">
      <w:pPr>
        <w:widowControl/>
        <w:spacing w:line="560" w:lineRule="exact"/>
        <w:ind w:firstLineChars="200" w:firstLine="640"/>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400240">
      <w:pPr>
        <w:widowControl/>
        <w:spacing w:line="560" w:lineRule="exact"/>
        <w:rPr>
          <w:rFonts w:ascii="仿宋_GB2312" w:eastAsia="仿宋_GB2312" w:hAnsi="仿宋_GB2312" w:cs="仿宋_GB2312"/>
          <w:color w:val="000000"/>
          <w:kern w:val="0"/>
          <w:sz w:val="32"/>
          <w:szCs w:val="32"/>
          <w:lang w:bidi="ar"/>
        </w:rPr>
      </w:pPr>
    </w:p>
    <w:p w:rsidR="00400240" w:rsidRDefault="005D33F9">
      <w:pPr>
        <w:widowControl/>
        <w:spacing w:line="560"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附件</w:t>
      </w:r>
      <w:r>
        <w:rPr>
          <w:rFonts w:ascii="仿宋_GB2312" w:eastAsia="仿宋_GB2312" w:hAnsi="仿宋_GB2312" w:cs="仿宋_GB2312" w:hint="eastAsia"/>
          <w:color w:val="000000"/>
          <w:kern w:val="0"/>
          <w:sz w:val="32"/>
          <w:szCs w:val="32"/>
          <w:lang w:bidi="ar"/>
        </w:rPr>
        <w:t>1</w:t>
      </w:r>
    </w:p>
    <w:p w:rsidR="00400240" w:rsidRDefault="00400240">
      <w:pPr>
        <w:spacing w:line="560" w:lineRule="exact"/>
        <w:rPr>
          <w:rFonts w:ascii="方正小标宋简体" w:eastAsia="方正小标宋简体" w:hAnsi="宋体" w:cs="黑体"/>
          <w:bCs/>
          <w:sz w:val="44"/>
          <w:szCs w:val="44"/>
        </w:rPr>
      </w:pPr>
    </w:p>
    <w:p w:rsidR="00400240" w:rsidRDefault="005D33F9">
      <w:pPr>
        <w:spacing w:line="560" w:lineRule="exact"/>
        <w:jc w:val="center"/>
        <w:rPr>
          <w:rFonts w:ascii="方正小标宋简体" w:eastAsia="方正小标宋简体" w:hAnsi="宋体" w:cs="黑体"/>
          <w:bCs/>
          <w:sz w:val="44"/>
          <w:szCs w:val="44"/>
        </w:rPr>
      </w:pPr>
      <w:r>
        <w:rPr>
          <w:rFonts w:ascii="方正小标宋简体" w:eastAsia="方正小标宋简体" w:hAnsi="宋体" w:cs="黑体" w:hint="eastAsia"/>
          <w:bCs/>
          <w:sz w:val="44"/>
          <w:szCs w:val="44"/>
        </w:rPr>
        <w:t>2021</w:t>
      </w:r>
      <w:r>
        <w:rPr>
          <w:rFonts w:ascii="方正小标宋简体" w:eastAsia="方正小标宋简体" w:hAnsi="宋体" w:cs="黑体" w:hint="eastAsia"/>
          <w:bCs/>
          <w:sz w:val="44"/>
          <w:szCs w:val="44"/>
        </w:rPr>
        <w:t>年度山东省高校军事课教学展示细则</w:t>
      </w:r>
    </w:p>
    <w:p w:rsidR="00400240" w:rsidRDefault="00400240">
      <w:pPr>
        <w:spacing w:line="560" w:lineRule="exact"/>
        <w:rPr>
          <w:rFonts w:ascii="方正小标宋简体" w:eastAsia="方正小标宋简体" w:hAnsi="宋体" w:cs="黑体"/>
          <w:bCs/>
          <w:sz w:val="32"/>
          <w:szCs w:val="32"/>
        </w:rPr>
      </w:pPr>
    </w:p>
    <w:p w:rsidR="00400240" w:rsidRDefault="005D33F9">
      <w:pPr>
        <w:spacing w:line="560" w:lineRule="exact"/>
        <w:rPr>
          <w:rFonts w:ascii="方正小标宋简体" w:eastAsia="方正小标宋简体" w:hAnsi="宋体" w:cs="黑体"/>
          <w:bCs/>
          <w:sz w:val="32"/>
          <w:szCs w:val="32"/>
        </w:rPr>
      </w:pPr>
      <w:r>
        <w:rPr>
          <w:rFonts w:ascii="方正小标宋简体" w:eastAsia="方正小标宋简体" w:hAnsi="宋体" w:cs="黑体" w:hint="eastAsia"/>
          <w:bCs/>
          <w:sz w:val="32"/>
          <w:szCs w:val="32"/>
        </w:rPr>
        <w:t xml:space="preserve">    </w:t>
      </w:r>
      <w:r>
        <w:rPr>
          <w:rFonts w:ascii="黑体" w:eastAsia="黑体" w:hAnsi="黑体" w:cs="黑体" w:hint="eastAsia"/>
          <w:bCs/>
          <w:sz w:val="32"/>
          <w:szCs w:val="32"/>
        </w:rPr>
        <w:t>一、识图用图展示细则</w:t>
      </w:r>
    </w:p>
    <w:p w:rsidR="00400240" w:rsidRDefault="005D33F9">
      <w:pPr>
        <w:widowControl/>
        <w:shd w:val="clear" w:color="auto" w:fill="FFFFFF"/>
        <w:spacing w:line="560" w:lineRule="exact"/>
        <w:rPr>
          <w:rFonts w:ascii="仿宋_GB2312" w:eastAsia="仿宋_GB2312" w:hAnsi="仿宋_GB2312" w:cs="仿宋_GB2312"/>
          <w:sz w:val="32"/>
          <w:szCs w:val="32"/>
        </w:rPr>
      </w:pPr>
      <w:r>
        <w:rPr>
          <w:rFonts w:ascii="黑体" w:eastAsia="黑体" w:hAnsi="黑体" w:hint="eastAsia"/>
          <w:sz w:val="32"/>
          <w:szCs w:val="32"/>
        </w:rPr>
        <w:t xml:space="preserve">    </w:t>
      </w:r>
      <w:r>
        <w:rPr>
          <w:rFonts w:ascii="楷体" w:eastAsia="楷体" w:hAnsi="楷体" w:cs="楷体" w:hint="eastAsia"/>
          <w:sz w:val="32"/>
          <w:szCs w:val="32"/>
        </w:rPr>
        <w:t>（一）展示内容</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团队识图用图。该项目能使学生了解学习地图知识，熟练掌握识图用图的技能和要领，达到行动时判定方位不迷向、到</w:t>
      </w:r>
      <w:proofErr w:type="gramStart"/>
      <w:r>
        <w:rPr>
          <w:rFonts w:ascii="仿宋_GB2312" w:eastAsia="仿宋_GB2312" w:hAnsi="仿宋_GB2312" w:cs="仿宋_GB2312" w:hint="eastAsia"/>
          <w:sz w:val="32"/>
          <w:szCs w:val="32"/>
        </w:rPr>
        <w:t>实地能</w:t>
      </w:r>
      <w:proofErr w:type="gramEnd"/>
      <w:r>
        <w:rPr>
          <w:rFonts w:ascii="仿宋_GB2312" w:eastAsia="仿宋_GB2312" w:hAnsi="仿宋_GB2312" w:cs="仿宋_GB2312" w:hint="eastAsia"/>
          <w:sz w:val="32"/>
          <w:szCs w:val="32"/>
        </w:rPr>
        <w:t>对照地形选准位置、按照地图行进</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走错路。培养学生独立分析解决问题的能力和良好的逻辑思维及识图越野能力。</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（二）展示人员</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各代表队</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名学生。</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（三）时间地点</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日，分两个大组进行展示，每组用时约四小时。在临沂青少年示范性综合实践基地开展。如遇天气等特殊情况，组委会将视情况对展示时间、地点进行调整。具体安排以组委会通知为准。</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（四）展示办法</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以各高校队为团队，自带笔、三角尺、手表</w:t>
      </w:r>
      <w:proofErr w:type="gramStart"/>
      <w:r>
        <w:rPr>
          <w:rFonts w:ascii="仿宋_GB2312" w:eastAsia="仿宋_GB2312" w:hAnsi="仿宋_GB2312" w:cs="仿宋_GB2312" w:hint="eastAsia"/>
          <w:sz w:val="32"/>
          <w:szCs w:val="32"/>
        </w:rPr>
        <w:t>，着</w:t>
      </w:r>
      <w:proofErr w:type="gramEnd"/>
      <w:r>
        <w:rPr>
          <w:rFonts w:ascii="仿宋_GB2312" w:eastAsia="仿宋_GB2312" w:hAnsi="仿宋_GB2312" w:cs="仿宋_GB2312" w:hint="eastAsia"/>
          <w:sz w:val="32"/>
          <w:szCs w:val="32"/>
        </w:rPr>
        <w:t>统一服装，组委会出发前配发地图、指北针、指卡、</w:t>
      </w:r>
      <w:r>
        <w:rPr>
          <w:rFonts w:ascii="仿宋_GB2312" w:eastAsia="仿宋_GB2312" w:hAnsi="仿宋_GB2312" w:cs="仿宋_GB2312" w:hint="eastAsia"/>
          <w:sz w:val="32"/>
          <w:szCs w:val="32"/>
        </w:rPr>
        <w:t>GPS</w:t>
      </w:r>
      <w:r>
        <w:rPr>
          <w:rFonts w:ascii="仿宋_GB2312" w:eastAsia="仿宋_GB2312" w:hAnsi="仿宋_GB2312" w:cs="仿宋_GB2312" w:hint="eastAsia"/>
          <w:sz w:val="32"/>
          <w:szCs w:val="32"/>
        </w:rPr>
        <w:t>，采取到点打卡的方式。</w:t>
      </w:r>
    </w:p>
    <w:p w:rsidR="00400240" w:rsidRDefault="005D33F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w:t>
      </w:r>
      <w:r>
        <w:rPr>
          <w:rFonts w:ascii="仿宋_GB2312" w:eastAsia="仿宋_GB2312" w:hAnsi="仿宋_GB2312" w:cs="仿宋_GB2312" w:hint="eastAsia"/>
          <w:kern w:val="0"/>
          <w:sz w:val="32"/>
          <w:szCs w:val="32"/>
        </w:rPr>
        <w:t>要求</w:t>
      </w:r>
    </w:p>
    <w:p w:rsidR="00400240" w:rsidRDefault="005D33F9">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本次识图用图项目参照桑赫斯特竞赛定向越野规则，展示人员在限定时间内自行规划线路，以便充分利用限定时间寻找尽可能多的检查点获得最大的积分值，展示人员不必把全部检查点都找到，超过限定时间依据规定被扣除一定分值。</w:t>
      </w:r>
    </w:p>
    <w:p w:rsidR="00400240" w:rsidRDefault="005D33F9">
      <w:pPr>
        <w:tabs>
          <w:tab w:val="left" w:pos="360"/>
        </w:tabs>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）本次展示检查点分为限时点和自由点两类。限时点是要求所有团队成员都应按规定时间窗口亲自到访的点位（提供的坐标由参赛队员自行标定在地图上）；自由点是只要求团队中有一组成</w:t>
      </w:r>
      <w:r>
        <w:rPr>
          <w:rFonts w:ascii="仿宋_GB2312" w:eastAsia="仿宋_GB2312" w:hAnsi="仿宋_GB2312" w:cs="仿宋_GB2312" w:hint="eastAsia"/>
          <w:bCs/>
          <w:kern w:val="0"/>
          <w:sz w:val="32"/>
          <w:szCs w:val="32"/>
        </w:rPr>
        <w:t>员到访的点位（提供的坐标由参赛队员自行标定在地图上）。</w:t>
      </w:r>
    </w:p>
    <w:p w:rsidR="00400240" w:rsidRDefault="005D33F9">
      <w:pPr>
        <w:tabs>
          <w:tab w:val="left" w:pos="360"/>
        </w:tabs>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）每队</w:t>
      </w:r>
      <w:r>
        <w:rPr>
          <w:rFonts w:ascii="仿宋_GB2312" w:eastAsia="仿宋_GB2312" w:hAnsi="仿宋_GB2312" w:cs="仿宋_GB2312" w:hint="eastAsia"/>
          <w:bCs/>
          <w:kern w:val="0"/>
          <w:sz w:val="32"/>
          <w:szCs w:val="32"/>
        </w:rPr>
        <w:t>6</w:t>
      </w:r>
      <w:r>
        <w:rPr>
          <w:rFonts w:ascii="仿宋_GB2312" w:eastAsia="仿宋_GB2312" w:hAnsi="仿宋_GB2312" w:cs="仿宋_GB2312" w:hint="eastAsia"/>
          <w:bCs/>
          <w:kern w:val="0"/>
          <w:sz w:val="32"/>
          <w:szCs w:val="32"/>
        </w:rPr>
        <w:t>人，</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枚指卡，可自由分成两个小组，每个小组必须至少有</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名女生。两个小组可分别打点，计算总分值。限时点重复有效打点仅积一次分（有效是指两张卡都在限时点打卡才得分，若其中一个小组未在规定时间打点不计分），自由点一个卡达到打点即可。打错点不计分不扣分。终点、主站两组必须同时打点。</w:t>
      </w:r>
    </w:p>
    <w:p w:rsidR="00400240" w:rsidRDefault="005D33F9">
      <w:pPr>
        <w:tabs>
          <w:tab w:val="left" w:pos="360"/>
        </w:tabs>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）限时点分值为</w:t>
      </w:r>
      <w:r>
        <w:rPr>
          <w:rFonts w:ascii="仿宋_GB2312" w:eastAsia="仿宋_GB2312" w:hAnsi="仿宋_GB2312" w:cs="仿宋_GB2312" w:hint="eastAsia"/>
          <w:bCs/>
          <w:kern w:val="0"/>
          <w:sz w:val="32"/>
          <w:szCs w:val="32"/>
        </w:rPr>
        <w:t>10</w:t>
      </w:r>
      <w:r>
        <w:rPr>
          <w:rFonts w:ascii="仿宋_GB2312" w:eastAsia="仿宋_GB2312" w:hAnsi="仿宋_GB2312" w:cs="仿宋_GB2312" w:hint="eastAsia"/>
          <w:bCs/>
          <w:kern w:val="0"/>
          <w:sz w:val="32"/>
          <w:szCs w:val="32"/>
        </w:rPr>
        <w:t>分，自由点分值以检查点代号的十位数值为该点积分分值，如</w:t>
      </w:r>
      <w:r>
        <w:rPr>
          <w:rFonts w:ascii="仿宋_GB2312" w:eastAsia="仿宋_GB2312" w:hAnsi="仿宋_GB2312" w:cs="仿宋_GB2312" w:hint="eastAsia"/>
          <w:bCs/>
          <w:kern w:val="0"/>
          <w:sz w:val="32"/>
          <w:szCs w:val="32"/>
        </w:rPr>
        <w:t>31</w:t>
      </w:r>
      <w:r>
        <w:rPr>
          <w:rFonts w:ascii="仿宋_GB2312" w:eastAsia="仿宋_GB2312" w:hAnsi="仿宋_GB2312" w:cs="仿宋_GB2312" w:hint="eastAsia"/>
          <w:bCs/>
          <w:kern w:val="0"/>
          <w:sz w:val="32"/>
          <w:szCs w:val="32"/>
        </w:rPr>
        <w:t>号点位的分值为</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分，具体以地图为准。</w:t>
      </w:r>
    </w:p>
    <w:p w:rsidR="00400240" w:rsidRDefault="005D33F9">
      <w:pPr>
        <w:tabs>
          <w:tab w:val="left" w:pos="360"/>
        </w:tabs>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）有效时间</w:t>
      </w:r>
      <w:r>
        <w:rPr>
          <w:rFonts w:ascii="仿宋_GB2312" w:eastAsia="仿宋_GB2312" w:hAnsi="仿宋_GB2312" w:cs="仿宋_GB2312" w:hint="eastAsia"/>
          <w:bCs/>
          <w:kern w:val="0"/>
          <w:sz w:val="32"/>
          <w:szCs w:val="32"/>
        </w:rPr>
        <w:t>70</w:t>
      </w:r>
      <w:r>
        <w:rPr>
          <w:rFonts w:ascii="仿宋_GB2312" w:eastAsia="仿宋_GB2312" w:hAnsi="仿宋_GB2312" w:cs="仿宋_GB2312" w:hint="eastAsia"/>
          <w:bCs/>
          <w:kern w:val="0"/>
          <w:sz w:val="32"/>
          <w:szCs w:val="32"/>
        </w:rPr>
        <w:t>分钟，取用时最长的卡为最终成绩，</w:t>
      </w:r>
      <w:r>
        <w:rPr>
          <w:rFonts w:ascii="仿宋_GB2312" w:eastAsia="仿宋_GB2312" w:hAnsi="仿宋_GB2312" w:cs="仿宋_GB2312" w:hint="eastAsia"/>
          <w:bCs/>
          <w:kern w:val="0"/>
          <w:sz w:val="32"/>
          <w:szCs w:val="32"/>
        </w:rPr>
        <w:t>超时一分钟扣</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分。各队出发间隔时间为</w:t>
      </w: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分钟。</w:t>
      </w:r>
    </w:p>
    <w:p w:rsidR="00400240" w:rsidRDefault="005D33F9">
      <w:pPr>
        <w:tabs>
          <w:tab w:val="left" w:pos="36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注意：限时点（时间窗口点）两卡必须打点，其他非时间窗口可自行分配。部分点位有相应的军事任务需要</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人配</w:t>
      </w:r>
      <w:r>
        <w:rPr>
          <w:rFonts w:ascii="仿宋_GB2312" w:eastAsia="仿宋_GB2312" w:hAnsi="仿宋_GB2312" w:cs="仿宋_GB2312" w:hint="eastAsia"/>
          <w:bCs/>
          <w:kern w:val="0"/>
          <w:sz w:val="32"/>
          <w:szCs w:val="32"/>
        </w:rPr>
        <w:lastRenderedPageBreak/>
        <w:t>合完成，</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人达到不予打卡。每个小组找点过程中必须共同完成。</w:t>
      </w:r>
    </w:p>
    <w:p w:rsidR="00400240" w:rsidRDefault="005D33F9">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实施细节</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）出发顺序按领队、指导教师联席会现场统一抽签顺序，分时分批出发，同一批次出发一个组，每批次出发时间间隔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分钟。</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）出发区。听到出发信号，将指卡在起点设备上</w:t>
      </w:r>
      <w:proofErr w:type="gramStart"/>
      <w:r>
        <w:rPr>
          <w:rFonts w:ascii="仿宋_GB2312" w:eastAsia="仿宋_GB2312" w:hAnsi="仿宋_GB2312" w:cs="仿宋_GB2312" w:hint="eastAsia"/>
          <w:sz w:val="32"/>
          <w:szCs w:val="32"/>
        </w:rPr>
        <w:t>打卡拿</w:t>
      </w:r>
      <w:proofErr w:type="gramEnd"/>
      <w:r>
        <w:rPr>
          <w:rFonts w:ascii="仿宋_GB2312" w:eastAsia="仿宋_GB2312" w:hAnsi="仿宋_GB2312" w:cs="仿宋_GB2312" w:hint="eastAsia"/>
          <w:sz w:val="32"/>
          <w:szCs w:val="32"/>
        </w:rPr>
        <w:t>地图，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分钟时间标定点位，然后出发。</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）行进方式。全程徒步，不允许借助任何其他交通工具。否则成绩无效。</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）终点区。各</w:t>
      </w:r>
      <w:r>
        <w:rPr>
          <w:rFonts w:ascii="仿宋_GB2312" w:eastAsia="仿宋_GB2312" w:hAnsi="仿宋_GB2312" w:cs="仿宋_GB2312" w:hint="eastAsia"/>
          <w:sz w:val="32"/>
          <w:szCs w:val="32"/>
        </w:rPr>
        <w:t>组员必须从最后一个</w:t>
      </w:r>
      <w:proofErr w:type="gramStart"/>
      <w:r>
        <w:rPr>
          <w:rFonts w:ascii="仿宋_GB2312" w:eastAsia="仿宋_GB2312" w:hAnsi="仿宋_GB2312" w:cs="仿宋_GB2312" w:hint="eastAsia"/>
          <w:sz w:val="32"/>
          <w:szCs w:val="32"/>
        </w:rPr>
        <w:t>点位沿必经</w:t>
      </w:r>
      <w:proofErr w:type="gramEnd"/>
      <w:r>
        <w:rPr>
          <w:rFonts w:ascii="仿宋_GB2312" w:eastAsia="仿宋_GB2312" w:hAnsi="仿宋_GB2312" w:cs="仿宋_GB2312" w:hint="eastAsia"/>
          <w:sz w:val="32"/>
          <w:szCs w:val="32"/>
        </w:rPr>
        <w:t>路线（图示虚线）返回到终点打终点卡，交还地图，最后在成绩统计站打卡录入成绩，交还指卡。</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）展示时间。</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分钟（出发计时），超时者自动返回终点。</w:t>
      </w:r>
    </w:p>
    <w:p w:rsidR="00400240" w:rsidRDefault="005D33F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（五）成绩评定标准</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展示人员成绩根据限时点和自由点打卡得分累加得来，排名依据得分多少由高到低排列。分数相同者，用时少者排名列前；分数、用时都相同，找检查点少者列前；如果分数、用时和点数都相同，则并列排名。</w:t>
      </w:r>
    </w:p>
    <w:p w:rsidR="00400240" w:rsidRDefault="005D33F9">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二、电磁频谱监测展示细则</w:t>
      </w:r>
    </w:p>
    <w:p w:rsidR="00400240" w:rsidRDefault="005D33F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（一）展示内容</w:t>
      </w:r>
    </w:p>
    <w:p w:rsidR="00400240" w:rsidRDefault="005D33F9">
      <w:pPr>
        <w:widowControl/>
        <w:shd w:val="clear" w:color="auto" w:fill="FFFFFF"/>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电磁频谱监测。</w:t>
      </w:r>
    </w:p>
    <w:p w:rsidR="00400240" w:rsidRDefault="005D33F9">
      <w:pPr>
        <w:widowControl/>
        <w:shd w:val="clear" w:color="auto" w:fill="FFFFFF"/>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sz w:val="32"/>
          <w:szCs w:val="32"/>
        </w:rPr>
        <w:t>（二）展示人员</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各代表队</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名学生。</w:t>
      </w:r>
    </w:p>
    <w:p w:rsidR="00400240" w:rsidRDefault="005D33F9">
      <w:pPr>
        <w:widowControl/>
        <w:shd w:val="clear" w:color="auto" w:fill="FFFFFF"/>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sz w:val="32"/>
          <w:szCs w:val="32"/>
        </w:rPr>
        <w:t>（三）时间地点</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日，分两个大组进行展示，每组用时约两小时。在临沂青少年示范性综合实践基地开展。如遇天气等特殊情况，组委会将视情况对展示时间、地点进行调整。具体安排以组委会通知为准。</w:t>
      </w:r>
    </w:p>
    <w:p w:rsidR="00400240" w:rsidRDefault="005D33F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（四）展示办法</w:t>
      </w:r>
    </w:p>
    <w:p w:rsidR="00400240" w:rsidRDefault="005D33F9">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展示形式</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）采用短距离</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米波段。</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男</w:t>
      </w: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女团队</w:t>
      </w:r>
      <w:proofErr w:type="gramEnd"/>
      <w:r>
        <w:rPr>
          <w:rFonts w:ascii="仿宋_GB2312" w:eastAsia="仿宋_GB2312" w:hAnsi="仿宋_GB2312" w:cs="仿宋_GB2312" w:hint="eastAsia"/>
          <w:sz w:val="32"/>
          <w:szCs w:val="32"/>
        </w:rPr>
        <w:t>集体徒步方式顺序完成任务，包括两个通关项目及找寻多个隐蔽电台。</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）完成单项任务后指卡打卡，并取走</w:t>
      </w:r>
      <w:r>
        <w:rPr>
          <w:rFonts w:ascii="仿宋_GB2312" w:eastAsia="仿宋_GB2312" w:hAnsi="仿宋_GB2312" w:cs="仿宋_GB2312" w:hint="eastAsia"/>
          <w:sz w:val="32"/>
          <w:szCs w:val="32"/>
        </w:rPr>
        <w:t>500g</w:t>
      </w:r>
      <w:r>
        <w:rPr>
          <w:rFonts w:ascii="仿宋_GB2312" w:eastAsia="仿宋_GB2312" w:hAnsi="仿宋_GB2312" w:cs="仿宋_GB2312" w:hint="eastAsia"/>
          <w:sz w:val="32"/>
          <w:szCs w:val="32"/>
        </w:rPr>
        <w:t>重物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件放入背包。</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出发顺序</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）起点出发的先后顺序由领队、指导教师联席会现场抽签确定。</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）起点</w:t>
      </w:r>
      <w:proofErr w:type="gramStart"/>
      <w:r>
        <w:rPr>
          <w:rFonts w:ascii="仿宋_GB2312" w:eastAsia="仿宋_GB2312" w:hAnsi="仿宋_GB2312" w:cs="仿宋_GB2312" w:hint="eastAsia"/>
          <w:sz w:val="32"/>
          <w:szCs w:val="32"/>
        </w:rPr>
        <w:t>通知首找台台</w:t>
      </w:r>
      <w:proofErr w:type="gramEnd"/>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后续台</w:t>
      </w:r>
      <w:proofErr w:type="gramEnd"/>
      <w:r>
        <w:rPr>
          <w:rFonts w:ascii="仿宋_GB2312" w:eastAsia="仿宋_GB2312" w:hAnsi="仿宋_GB2312" w:cs="仿宋_GB2312" w:hint="eastAsia"/>
          <w:sz w:val="32"/>
          <w:szCs w:val="32"/>
        </w:rPr>
        <w:t>号及</w:t>
      </w:r>
      <w:proofErr w:type="gramStart"/>
      <w:r>
        <w:rPr>
          <w:rFonts w:ascii="仿宋_GB2312" w:eastAsia="仿宋_GB2312" w:hAnsi="仿宋_GB2312" w:cs="仿宋_GB2312" w:hint="eastAsia"/>
          <w:sz w:val="32"/>
          <w:szCs w:val="32"/>
        </w:rPr>
        <w:t>台序待</w:t>
      </w:r>
      <w:proofErr w:type="gramEnd"/>
      <w:r>
        <w:rPr>
          <w:rFonts w:ascii="仿宋_GB2312" w:eastAsia="仿宋_GB2312" w:hAnsi="仿宋_GB2312" w:cs="仿宋_GB2312" w:hint="eastAsia"/>
          <w:sz w:val="32"/>
          <w:szCs w:val="32"/>
        </w:rPr>
        <w:t>完成相应通关任务后现场抽签取得。</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展示用时</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）从获得出发指令并完成“起点”记时打卡开始，到最后一名队员通过终点线并完成“终点”记时打卡时结束，所用时间为参与展示的实用时间。超时者成绩无效。</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）限时</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分钟，出发批次间隔</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分钟。</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隐蔽电台</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）布设</w:t>
      </w:r>
      <w:r>
        <w:rPr>
          <w:rFonts w:ascii="仿宋_GB2312" w:eastAsia="仿宋_GB2312" w:hAnsi="仿宋_GB2312" w:cs="仿宋_GB2312" w:hint="eastAsia"/>
          <w:sz w:val="32"/>
          <w:szCs w:val="32"/>
        </w:rPr>
        <w:t>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MO</w:t>
      </w:r>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部隐蔽电台。</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首找台</w:t>
      </w:r>
      <w:proofErr w:type="gramEnd"/>
      <w:r>
        <w:rPr>
          <w:rFonts w:ascii="仿宋_GB2312" w:eastAsia="仿宋_GB2312" w:hAnsi="仿宋_GB2312" w:cs="仿宋_GB2312" w:hint="eastAsia"/>
          <w:sz w:val="32"/>
          <w:szCs w:val="32"/>
        </w:rPr>
        <w:t>与起点相距大于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米，各隐蔽电台间距大于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米。</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）隐蔽电台布设在不易看见的地方，</w:t>
      </w:r>
      <w:proofErr w:type="gramStart"/>
      <w:r>
        <w:rPr>
          <w:rFonts w:ascii="仿宋_GB2312" w:eastAsia="仿宋_GB2312" w:hAnsi="仿宋_GB2312" w:cs="仿宋_GB2312" w:hint="eastAsia"/>
          <w:sz w:val="32"/>
          <w:szCs w:val="32"/>
        </w:rPr>
        <w:t>学生找台时</w:t>
      </w:r>
      <w:proofErr w:type="gramEnd"/>
      <w:r>
        <w:rPr>
          <w:rFonts w:ascii="仿宋_GB2312" w:eastAsia="仿宋_GB2312" w:hAnsi="仿宋_GB2312" w:cs="仿宋_GB2312" w:hint="eastAsia"/>
          <w:sz w:val="32"/>
          <w:szCs w:val="32"/>
        </w:rPr>
        <w:t>不准移动、触碰电台。</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）隐蔽电台的发信频率在</w:t>
      </w:r>
      <w:r>
        <w:rPr>
          <w:rFonts w:ascii="仿宋_GB2312" w:eastAsia="仿宋_GB2312" w:hAnsi="仿宋_GB2312" w:cs="仿宋_GB2312" w:hint="eastAsia"/>
          <w:sz w:val="32"/>
          <w:szCs w:val="32"/>
        </w:rPr>
        <w:t>3.5-3.6MHz</w:t>
      </w:r>
      <w:r>
        <w:rPr>
          <w:rFonts w:ascii="仿宋_GB2312" w:eastAsia="仿宋_GB2312" w:hAnsi="仿宋_GB2312" w:cs="仿宋_GB2312" w:hint="eastAsia"/>
          <w:sz w:val="32"/>
          <w:szCs w:val="32"/>
        </w:rPr>
        <w:t>范围内选定，各台工</w:t>
      </w:r>
      <w:r>
        <w:rPr>
          <w:rFonts w:ascii="仿宋_GB2312" w:eastAsia="仿宋_GB2312" w:hAnsi="仿宋_GB2312" w:cs="仿宋_GB2312" w:hint="eastAsia"/>
          <w:sz w:val="32"/>
          <w:szCs w:val="32"/>
        </w:rPr>
        <w:t>作在不同频率上，频率间隔不低于</w:t>
      </w:r>
      <w:r>
        <w:rPr>
          <w:rFonts w:ascii="仿宋_GB2312" w:eastAsia="仿宋_GB2312" w:hAnsi="仿宋_GB2312" w:cs="仿宋_GB2312" w:hint="eastAsia"/>
          <w:sz w:val="32"/>
          <w:szCs w:val="32"/>
        </w:rPr>
        <w:t>10 KHz</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）隐蔽电台连续自动</w:t>
      </w:r>
      <w:proofErr w:type="gramStart"/>
      <w:r>
        <w:rPr>
          <w:rFonts w:ascii="仿宋_GB2312" w:eastAsia="仿宋_GB2312" w:hAnsi="仿宋_GB2312" w:cs="仿宋_GB2312" w:hint="eastAsia"/>
          <w:sz w:val="32"/>
          <w:szCs w:val="32"/>
        </w:rPr>
        <w:t>拍发等幅电报</w:t>
      </w:r>
      <w:proofErr w:type="gramEnd"/>
      <w:r>
        <w:rPr>
          <w:rFonts w:ascii="仿宋_GB2312" w:eastAsia="仿宋_GB2312" w:hAnsi="仿宋_GB2312" w:cs="仿宋_GB2312" w:hint="eastAsia"/>
          <w:sz w:val="32"/>
          <w:szCs w:val="32"/>
        </w:rPr>
        <w:t>，载波功率为</w:t>
      </w:r>
      <w:r>
        <w:rPr>
          <w:rFonts w:ascii="仿宋_GB2312" w:eastAsia="仿宋_GB2312" w:hAnsi="仿宋_GB2312" w:cs="仿宋_GB2312" w:hint="eastAsia"/>
          <w:sz w:val="32"/>
          <w:szCs w:val="32"/>
        </w:rPr>
        <w:t xml:space="preserve">0.3-1W, </w:t>
      </w:r>
      <w:r>
        <w:rPr>
          <w:rFonts w:ascii="仿宋_GB2312" w:eastAsia="仿宋_GB2312" w:hAnsi="仿宋_GB2312" w:cs="仿宋_GB2312" w:hint="eastAsia"/>
          <w:sz w:val="32"/>
          <w:szCs w:val="32"/>
        </w:rPr>
        <w:t>采用垂直无方向性的直立天线发射垂直极化波。</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）隐蔽电台的拍发呼号：</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MOI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MOS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MOH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MO5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MO6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MO7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MO8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MO9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号台</w:t>
      </w:r>
      <w:r>
        <w:rPr>
          <w:rFonts w:ascii="仿宋_GB2312" w:eastAsia="仿宋_GB2312" w:hAnsi="仿宋_GB2312" w:cs="仿宋_GB2312" w:hint="eastAsia"/>
          <w:sz w:val="32"/>
          <w:szCs w:val="32"/>
        </w:rPr>
        <w:t xml:space="preserve"> MO0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信标台</w:t>
      </w:r>
      <w:r>
        <w:rPr>
          <w:rFonts w:ascii="仿宋_GB2312" w:eastAsia="仿宋_GB2312" w:hAnsi="仿宋_GB2312" w:cs="仿宋_GB2312" w:hint="eastAsia"/>
          <w:sz w:val="32"/>
          <w:szCs w:val="32"/>
        </w:rPr>
        <w:t xml:space="preserve"> MO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电台的拍发速度均为每分钟</w:t>
      </w:r>
      <w:r>
        <w:rPr>
          <w:rFonts w:ascii="仿宋_GB2312" w:eastAsia="仿宋_GB2312" w:hAnsi="仿宋_GB2312" w:cs="仿宋_GB2312" w:hint="eastAsia"/>
          <w:sz w:val="32"/>
          <w:szCs w:val="32"/>
        </w:rPr>
        <w:t>25-80</w:t>
      </w:r>
      <w:r>
        <w:rPr>
          <w:rFonts w:ascii="仿宋_GB2312" w:eastAsia="仿宋_GB2312" w:hAnsi="仿宋_GB2312" w:cs="仿宋_GB2312" w:hint="eastAsia"/>
          <w:sz w:val="32"/>
          <w:szCs w:val="32"/>
        </w:rPr>
        <w:t>字符。“—”响“哒”，“●”响“滴”。</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凭证与重物</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）在电台及通关任务点附近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米内设有凭证、重物，不准移动其位置。</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）凭证为电子记时器或机械打卡器，作为过</w:t>
      </w:r>
      <w:proofErr w:type="gramStart"/>
      <w:r>
        <w:rPr>
          <w:rFonts w:ascii="仿宋_GB2312" w:eastAsia="仿宋_GB2312" w:hAnsi="仿宋_GB2312" w:cs="仿宋_GB2312" w:hint="eastAsia"/>
          <w:sz w:val="32"/>
          <w:szCs w:val="32"/>
        </w:rPr>
        <w:t>台记录</w:t>
      </w:r>
      <w:proofErr w:type="gramEnd"/>
      <w:r>
        <w:rPr>
          <w:rFonts w:ascii="仿宋_GB2312" w:eastAsia="仿宋_GB2312" w:hAnsi="仿宋_GB2312" w:cs="仿宋_GB2312" w:hint="eastAsia"/>
          <w:sz w:val="32"/>
          <w:szCs w:val="32"/>
        </w:rPr>
        <w:t>设备，确认找到该台及完成该通关任务时打卡取证。</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）重物为</w:t>
      </w:r>
      <w:r>
        <w:rPr>
          <w:rFonts w:ascii="仿宋_GB2312" w:eastAsia="仿宋_GB2312" w:hAnsi="仿宋_GB2312" w:cs="仿宋_GB2312" w:hint="eastAsia"/>
          <w:sz w:val="32"/>
          <w:szCs w:val="32"/>
        </w:rPr>
        <w:t>500g</w:t>
      </w:r>
      <w:r>
        <w:rPr>
          <w:rFonts w:ascii="仿宋_GB2312" w:eastAsia="仿宋_GB2312" w:hAnsi="仿宋_GB2312" w:cs="仿宋_GB2312" w:hint="eastAsia"/>
          <w:sz w:val="32"/>
          <w:szCs w:val="32"/>
        </w:rPr>
        <w:t>左右矿泉水，不同电台及通关任务点附近放置不同品牌的矿泉水。</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）多打卡或多取重物按照扣除一个重物处理。</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展示要求</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）学生必须以徒</w:t>
      </w:r>
      <w:r>
        <w:rPr>
          <w:rFonts w:ascii="仿宋_GB2312" w:eastAsia="仿宋_GB2312" w:hAnsi="仿宋_GB2312" w:cs="仿宋_GB2312" w:hint="eastAsia"/>
          <w:sz w:val="32"/>
          <w:szCs w:val="32"/>
        </w:rPr>
        <w:t>步方式独立完成，不准借助交通工具，且以团队的形式共同完成任务。</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）起点设</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集中待出发学生的预备区，准备参与展示的学生不准离开该区域。为保证教学展示的严肃性，在起点收缴测向机，各单位进场后应按要求将测向机放在指定位置，出发时领取，不得触碰其他单位的测向机。</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）终点设</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集中休息区域，展示结束后进入该区域休息。</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）领队、指导教师及各学校的其他人员不准私自进入赛场，否则取消排名资格。</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）学生需按要求佩戴组织者发给的号码布和指卡等，展示全部结束后以学校为单位主动交给终点裁判。</w:t>
      </w:r>
    </w:p>
    <w:p w:rsidR="00400240" w:rsidRDefault="005D33F9">
      <w:pPr>
        <w:spacing w:line="560" w:lineRule="exact"/>
        <w:ind w:firstLineChars="200" w:firstLine="640"/>
        <w:outlineLvl w:val="0"/>
        <w:rPr>
          <w:rFonts w:ascii="楷体" w:eastAsia="楷体" w:hAnsi="楷体" w:cs="楷体"/>
          <w:sz w:val="32"/>
          <w:szCs w:val="32"/>
        </w:rPr>
      </w:pPr>
      <w:r>
        <w:rPr>
          <w:rFonts w:ascii="楷体" w:eastAsia="楷体" w:hAnsi="楷体" w:cs="楷体" w:hint="eastAsia"/>
          <w:sz w:val="32"/>
          <w:szCs w:val="32"/>
        </w:rPr>
        <w:t>（五）评分标准</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总成绩</w:t>
      </w:r>
      <w:r>
        <w:rPr>
          <w:rFonts w:ascii="仿宋_GB2312" w:eastAsia="仿宋_GB2312" w:hAnsi="仿宋_GB2312" w:cs="仿宋_GB2312" w:hint="eastAsia"/>
          <w:sz w:val="32"/>
          <w:szCs w:val="32"/>
        </w:rPr>
        <w:t>S</w:t>
      </w:r>
      <w:r>
        <w:rPr>
          <w:rFonts w:ascii="仿宋_GB2312" w:eastAsia="仿宋_GB2312" w:hAnsi="仿宋_GB2312" w:cs="仿宋_GB2312" w:hint="eastAsia"/>
          <w:sz w:val="32"/>
          <w:szCs w:val="32"/>
        </w:rPr>
        <w:t>=10X+5Y+2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N-n</w:t>
      </w:r>
      <w:r>
        <w:rPr>
          <w:rFonts w:ascii="仿宋_GB2312" w:eastAsia="仿宋_GB2312" w:hAnsi="仿宋_GB2312" w:cs="仿宋_GB2312" w:hint="eastAsia"/>
          <w:sz w:val="32"/>
          <w:szCs w:val="32"/>
        </w:rPr>
        <w:t>）</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为成功完成通关任务、找到隐蔽电台的总数；</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是有效重物的数目；</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N</w:t>
      </w:r>
      <w:r>
        <w:rPr>
          <w:rFonts w:ascii="仿宋_GB2312" w:eastAsia="仿宋_GB2312" w:hAnsi="仿宋_GB2312" w:cs="仿宋_GB2312" w:hint="eastAsia"/>
          <w:sz w:val="32"/>
          <w:szCs w:val="32"/>
        </w:rPr>
        <w:t>为成功参展的单位数目；</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n</w:t>
      </w:r>
      <w:r>
        <w:rPr>
          <w:rFonts w:ascii="仿宋_GB2312" w:eastAsia="仿宋_GB2312" w:hAnsi="仿宋_GB2312" w:cs="仿宋_GB2312" w:hint="eastAsia"/>
          <w:sz w:val="32"/>
          <w:szCs w:val="32"/>
        </w:rPr>
        <w:t>为参展快速性的排名数目，排名的优先原则为：</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）超时</w:t>
      </w:r>
      <w:proofErr w:type="gramStart"/>
      <w:r>
        <w:rPr>
          <w:rFonts w:ascii="仿宋_GB2312" w:eastAsia="仿宋_GB2312" w:hAnsi="仿宋_GB2312" w:cs="仿宋_GB2312" w:hint="eastAsia"/>
          <w:sz w:val="32"/>
          <w:szCs w:val="32"/>
        </w:rPr>
        <w:t>则成绩</w:t>
      </w:r>
      <w:proofErr w:type="gramEnd"/>
      <w:r>
        <w:rPr>
          <w:rFonts w:ascii="仿宋_GB2312" w:eastAsia="仿宋_GB2312" w:hAnsi="仿宋_GB2312" w:cs="仿宋_GB2312" w:hint="eastAsia"/>
          <w:sz w:val="32"/>
          <w:szCs w:val="32"/>
        </w:rPr>
        <w:t>排最后，同等超时情况下，</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越大的队伍排名约靠前；</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不超时且</w:t>
      </w:r>
      <w:proofErr w:type="gramEnd"/>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相等情况下，</w:t>
      </w: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越大的队伍排名越靠前；</w:t>
      </w:r>
    </w:p>
    <w:p w:rsidR="00400240" w:rsidRDefault="005D33F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不超时且</w:t>
      </w:r>
      <w:proofErr w:type="gramEnd"/>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分别相等情况下，用时少者排名靠前。</w:t>
      </w:r>
    </w:p>
    <w:p w:rsidR="00400240" w:rsidRDefault="005D33F9">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三、战场医疗救护展示细则</w:t>
      </w:r>
    </w:p>
    <w:p w:rsidR="00400240" w:rsidRDefault="005D33F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（一）展示内容</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“战场医疗救护”教学展示分为战术、技术两个部分。</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战术。主要包括观察与发现伤员、接近伤员、脱离火线搬运伤员、转运护送伤员等四个环节。</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技术。主要包括战场止血、包扎、固定、搬运等四项急救基本技术。</w:t>
      </w:r>
    </w:p>
    <w:p w:rsidR="00400240" w:rsidRDefault="005D33F9">
      <w:pPr>
        <w:widowControl/>
        <w:shd w:val="clear" w:color="auto" w:fill="FFFFFF"/>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（二）展示人员</w:t>
      </w:r>
    </w:p>
    <w:p w:rsidR="00400240" w:rsidRDefault="005D33F9">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各代表队</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名学生。</w:t>
      </w:r>
    </w:p>
    <w:p w:rsidR="00400240" w:rsidRDefault="005D33F9">
      <w:pPr>
        <w:widowControl/>
        <w:shd w:val="clear" w:color="auto" w:fill="FFFFFF"/>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（三）时间地点</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日，每组展示用时约三小时。在临沂青少年示范性综合实践基地开展。如遇天气等特殊情况，组委会将视情况对展示时间、地点进行调整。具体安排以组委会通知为准。</w:t>
      </w:r>
    </w:p>
    <w:p w:rsidR="00400240" w:rsidRDefault="005D33F9">
      <w:pPr>
        <w:widowControl/>
        <w:shd w:val="clear" w:color="auto" w:fill="FFFFFF"/>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（四）展示办法</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各代表队按照抽签结果确定上场顺序，每轮同时展示</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支代表队，每轮展示规定用时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分钟。</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各代表队选出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名队员（男生）扮演伤员，</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名队员</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名男生、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名女生）参与救护。</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为增加真实战场气氛，本次展示可播放战场音效、施放烟幕，也可由部分志愿者扮演防守方。</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现场指挥员宣布战斗开始。各代表队救护人员依托掩体观察战场伤亡情况随时准备救治。</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各代表队扮演受伤人员在进攻过程中在指定地域线倒地（未到达指定地域即受伤倒地的，不得施救），按预先指定角色一名扮演</w:t>
      </w:r>
      <w:proofErr w:type="gramStart"/>
      <w:r>
        <w:rPr>
          <w:rFonts w:ascii="仿宋_GB2312" w:eastAsia="仿宋_GB2312" w:hAnsi="仿宋_GB2312" w:cs="仿宋_GB2312" w:hint="eastAsia"/>
          <w:sz w:val="32"/>
          <w:szCs w:val="32"/>
        </w:rPr>
        <w:t>颅</w:t>
      </w:r>
      <w:proofErr w:type="gramEnd"/>
      <w:r>
        <w:rPr>
          <w:rFonts w:ascii="仿宋_GB2312" w:eastAsia="仿宋_GB2312" w:hAnsi="仿宋_GB2312" w:cs="仿宋_GB2312" w:hint="eastAsia"/>
          <w:sz w:val="32"/>
          <w:szCs w:val="32"/>
        </w:rPr>
        <w:t>顶部受伤、一名扮演小腿部开放性骨折，均为重伤，等待本方队员救治。</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出现伤情之后，各代表队首先派出一名救护队员（男生），按照高姿、低姿各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米距离迅速接近伤员，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名男生和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名女生抬担架屈身前进至救治掩体隐蔽，救护队员采取侧姿搬运伤员至掩体后（拖动距离为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米），交由救护队员进行紧急救治后，屈身前进送至战地救护所，更换另一付担架返回救治掩体。救护队员采取同样方法，将另一名伤员搬运至掩体后，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人协力进行救治后，屈身前进送至战地救护所。</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救护完毕，</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名救护人员在救护所前列队，报告“展示完毕”。</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分钟时间到后或</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支代表队救护行动全部完成后，现场指挥员下达停止口令，第二组准</w:t>
      </w:r>
      <w:r>
        <w:rPr>
          <w:rFonts w:ascii="仿宋_GB2312" w:eastAsia="仿宋_GB2312" w:hAnsi="仿宋_GB2312" w:cs="仿宋_GB2312" w:hint="eastAsia"/>
          <w:sz w:val="32"/>
          <w:szCs w:val="32"/>
        </w:rPr>
        <w:t>备进场比赛。</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战场救护过程中，战术专家评定战术成绩；完成救护后，技术专家评定技术成绩。每名专家均需对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个代表队分别进行成绩评定，去掉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个最低分、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个最高分，计算平均</w:t>
      </w:r>
      <w:r>
        <w:rPr>
          <w:rFonts w:ascii="仿宋_GB2312" w:eastAsia="仿宋_GB2312" w:hAnsi="仿宋_GB2312" w:cs="仿宋_GB2312" w:hint="eastAsia"/>
          <w:sz w:val="32"/>
          <w:szCs w:val="32"/>
        </w:rPr>
        <w:lastRenderedPageBreak/>
        <w:t>分为该代表队最终成绩。</w:t>
      </w:r>
    </w:p>
    <w:p w:rsidR="00400240" w:rsidRDefault="005D33F9">
      <w:pPr>
        <w:widowControl/>
        <w:shd w:val="clear" w:color="auto" w:fill="FFFFFF"/>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（五）评分标准</w:t>
      </w:r>
    </w:p>
    <w:p w:rsidR="00400240" w:rsidRDefault="005D33F9">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“战场医疗救护”军事训练与考核纲目</w:t>
      </w:r>
    </w:p>
    <w:p w:rsidR="00400240" w:rsidRDefault="005D33F9">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内容：</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）观察与发现伤员</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）接近伤员</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）急救伤员（止血、包扎、固定）</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）搬运伤员</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）隐蔽伤员</w:t>
      </w:r>
    </w:p>
    <w:p w:rsidR="00400240" w:rsidRDefault="005D33F9">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标准：</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）观察方法得当，发现伤员及时。</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）采用战术动作得当；动作迅速、姿势标准；合理利用火力间隙等时机。</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）掌握利用地形急救伤员的</w:t>
      </w:r>
      <w:r>
        <w:rPr>
          <w:rFonts w:ascii="仿宋_GB2312" w:eastAsia="仿宋_GB2312" w:hAnsi="仿宋_GB2312" w:cs="仿宋_GB2312" w:hint="eastAsia"/>
          <w:sz w:val="32"/>
          <w:szCs w:val="32"/>
        </w:rPr>
        <w:t>方法；掌握止血带止血，三角</w:t>
      </w:r>
      <w:proofErr w:type="gramStart"/>
      <w:r>
        <w:rPr>
          <w:rFonts w:ascii="仿宋_GB2312" w:eastAsia="仿宋_GB2312" w:hAnsi="仿宋_GB2312" w:cs="仿宋_GB2312" w:hint="eastAsia"/>
          <w:sz w:val="32"/>
          <w:szCs w:val="32"/>
        </w:rPr>
        <w:t>巾</w:t>
      </w:r>
      <w:proofErr w:type="gramEnd"/>
      <w:r>
        <w:rPr>
          <w:rFonts w:ascii="仿宋_GB2312" w:eastAsia="仿宋_GB2312" w:hAnsi="仿宋_GB2312" w:cs="仿宋_GB2312" w:hint="eastAsia"/>
          <w:sz w:val="32"/>
          <w:szCs w:val="32"/>
        </w:rPr>
        <w:t>包扎，以及骨折固定的方法要领。</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）充分利用有利地形和掌握伤情，选择适当的搬运方法和姿势，保证搬运伤员动作快速安全。</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）根据敌情、伤情和地形地物，选择适当的姿势和搬运方法，将伤员迅速、安全地隐蔽在就近安全地带。</w:t>
      </w:r>
    </w:p>
    <w:p w:rsidR="00400240" w:rsidRDefault="005D33F9">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“战场医疗救护”展示成绩评定表</w:t>
      </w:r>
    </w:p>
    <w:p w:rsidR="00400240" w:rsidRDefault="005D33F9">
      <w:pPr>
        <w:widowControl/>
        <w:shd w:val="clear" w:color="auto" w:fill="FFFFFF"/>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“战场医疗救护”展示战术成绩评定表</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769"/>
        <w:gridCol w:w="4881"/>
        <w:gridCol w:w="1075"/>
        <w:gridCol w:w="955"/>
      </w:tblGrid>
      <w:tr w:rsidR="00400240">
        <w:trPr>
          <w:trHeight w:val="441"/>
        </w:trPr>
        <w:tc>
          <w:tcPr>
            <w:tcW w:w="2342" w:type="dxa"/>
            <w:gridSpan w:val="2"/>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w:t>
            </w:r>
          </w:p>
        </w:tc>
        <w:tc>
          <w:tcPr>
            <w:tcW w:w="4881"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评分标准</w:t>
            </w:r>
          </w:p>
        </w:tc>
        <w:tc>
          <w:tcPr>
            <w:tcW w:w="1075"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分值</w:t>
            </w:r>
          </w:p>
        </w:tc>
        <w:tc>
          <w:tcPr>
            <w:tcW w:w="955"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得分</w:t>
            </w:r>
          </w:p>
        </w:tc>
      </w:tr>
      <w:tr w:rsidR="00400240">
        <w:trPr>
          <w:trHeight w:val="918"/>
        </w:trPr>
        <w:tc>
          <w:tcPr>
            <w:tcW w:w="573" w:type="dxa"/>
            <w:vMerge w:val="restart"/>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战术</w:t>
            </w:r>
          </w:p>
        </w:tc>
        <w:tc>
          <w:tcPr>
            <w:tcW w:w="1769"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观察与发现伤员</w:t>
            </w:r>
          </w:p>
        </w:tc>
        <w:tc>
          <w:tcPr>
            <w:tcW w:w="4881"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．观察方法得当；</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．发现伤员及时。</w:t>
            </w:r>
          </w:p>
        </w:tc>
        <w:tc>
          <w:tcPr>
            <w:tcW w:w="1075"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955" w:type="dxa"/>
            <w:vAlign w:val="center"/>
          </w:tcPr>
          <w:p w:rsidR="00400240" w:rsidRDefault="00400240">
            <w:pPr>
              <w:spacing w:line="560" w:lineRule="exact"/>
              <w:rPr>
                <w:rFonts w:ascii="仿宋_GB2312" w:eastAsia="仿宋_GB2312" w:hAnsi="仿宋_GB2312" w:cs="仿宋_GB2312"/>
                <w:sz w:val="32"/>
                <w:szCs w:val="32"/>
              </w:rPr>
            </w:pPr>
          </w:p>
        </w:tc>
      </w:tr>
      <w:tr w:rsidR="00400240">
        <w:trPr>
          <w:trHeight w:val="1271"/>
        </w:trPr>
        <w:tc>
          <w:tcPr>
            <w:tcW w:w="573" w:type="dxa"/>
            <w:vMerge/>
            <w:vAlign w:val="center"/>
          </w:tcPr>
          <w:p w:rsidR="00400240" w:rsidRDefault="00400240">
            <w:pPr>
              <w:spacing w:line="560" w:lineRule="exact"/>
              <w:rPr>
                <w:rFonts w:ascii="仿宋_GB2312" w:eastAsia="仿宋_GB2312" w:hAnsi="仿宋_GB2312" w:cs="仿宋_GB2312"/>
                <w:sz w:val="32"/>
                <w:szCs w:val="32"/>
              </w:rPr>
            </w:pPr>
          </w:p>
        </w:tc>
        <w:tc>
          <w:tcPr>
            <w:tcW w:w="1769"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接近伤员</w:t>
            </w:r>
          </w:p>
        </w:tc>
        <w:tc>
          <w:tcPr>
            <w:tcW w:w="4881"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．采用战术动作得当；</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．动作迅速、姿势标准；</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．合理利用火力间隙等时机。</w:t>
            </w:r>
          </w:p>
        </w:tc>
        <w:tc>
          <w:tcPr>
            <w:tcW w:w="1075"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955" w:type="dxa"/>
            <w:vAlign w:val="center"/>
          </w:tcPr>
          <w:p w:rsidR="00400240" w:rsidRDefault="00400240">
            <w:pPr>
              <w:spacing w:line="560" w:lineRule="exact"/>
              <w:rPr>
                <w:rFonts w:ascii="仿宋_GB2312" w:eastAsia="仿宋_GB2312" w:hAnsi="仿宋_GB2312" w:cs="仿宋_GB2312"/>
                <w:sz w:val="32"/>
                <w:szCs w:val="32"/>
              </w:rPr>
            </w:pPr>
          </w:p>
        </w:tc>
      </w:tr>
      <w:tr w:rsidR="00400240">
        <w:trPr>
          <w:trHeight w:val="1275"/>
        </w:trPr>
        <w:tc>
          <w:tcPr>
            <w:tcW w:w="573" w:type="dxa"/>
            <w:vMerge/>
            <w:vAlign w:val="center"/>
          </w:tcPr>
          <w:p w:rsidR="00400240" w:rsidRDefault="00400240">
            <w:pPr>
              <w:spacing w:line="560" w:lineRule="exact"/>
              <w:rPr>
                <w:rFonts w:ascii="仿宋_GB2312" w:eastAsia="仿宋_GB2312" w:hAnsi="仿宋_GB2312" w:cs="仿宋_GB2312"/>
                <w:sz w:val="32"/>
                <w:szCs w:val="32"/>
              </w:rPr>
            </w:pPr>
          </w:p>
        </w:tc>
        <w:tc>
          <w:tcPr>
            <w:tcW w:w="1769"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脱离火线</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搬运伤员</w:t>
            </w:r>
          </w:p>
        </w:tc>
        <w:tc>
          <w:tcPr>
            <w:tcW w:w="4881"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．采用搬运方法得当；</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．动作迅速、姿势标准；</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．防止伤员二次受伤。</w:t>
            </w:r>
          </w:p>
        </w:tc>
        <w:tc>
          <w:tcPr>
            <w:tcW w:w="1075"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955" w:type="dxa"/>
            <w:vAlign w:val="center"/>
          </w:tcPr>
          <w:p w:rsidR="00400240" w:rsidRDefault="00400240">
            <w:pPr>
              <w:spacing w:line="560" w:lineRule="exact"/>
              <w:rPr>
                <w:rFonts w:ascii="仿宋_GB2312" w:eastAsia="仿宋_GB2312" w:hAnsi="仿宋_GB2312" w:cs="仿宋_GB2312"/>
                <w:sz w:val="32"/>
                <w:szCs w:val="32"/>
              </w:rPr>
            </w:pPr>
          </w:p>
        </w:tc>
      </w:tr>
      <w:tr w:rsidR="00400240">
        <w:trPr>
          <w:trHeight w:val="1252"/>
        </w:trPr>
        <w:tc>
          <w:tcPr>
            <w:tcW w:w="573" w:type="dxa"/>
            <w:vMerge/>
            <w:vAlign w:val="center"/>
          </w:tcPr>
          <w:p w:rsidR="00400240" w:rsidRDefault="00400240">
            <w:pPr>
              <w:spacing w:line="560" w:lineRule="exact"/>
              <w:rPr>
                <w:rFonts w:ascii="仿宋_GB2312" w:eastAsia="仿宋_GB2312" w:hAnsi="仿宋_GB2312" w:cs="仿宋_GB2312"/>
                <w:sz w:val="32"/>
                <w:szCs w:val="32"/>
              </w:rPr>
            </w:pPr>
          </w:p>
        </w:tc>
        <w:tc>
          <w:tcPr>
            <w:tcW w:w="1769"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利用地形</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急救伤员</w:t>
            </w:r>
          </w:p>
        </w:tc>
        <w:tc>
          <w:tcPr>
            <w:tcW w:w="4881"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．敌情观念强；</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．合理利用不同地形进行急救；</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．急救伤员顺序适当。</w:t>
            </w:r>
          </w:p>
        </w:tc>
        <w:tc>
          <w:tcPr>
            <w:tcW w:w="1075"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955" w:type="dxa"/>
            <w:vAlign w:val="center"/>
          </w:tcPr>
          <w:p w:rsidR="00400240" w:rsidRDefault="00400240">
            <w:pPr>
              <w:spacing w:line="560" w:lineRule="exact"/>
              <w:rPr>
                <w:rFonts w:ascii="仿宋_GB2312" w:eastAsia="仿宋_GB2312" w:hAnsi="仿宋_GB2312" w:cs="仿宋_GB2312"/>
                <w:sz w:val="32"/>
                <w:szCs w:val="32"/>
              </w:rPr>
            </w:pPr>
          </w:p>
        </w:tc>
      </w:tr>
      <w:tr w:rsidR="00400240">
        <w:trPr>
          <w:trHeight w:val="1269"/>
        </w:trPr>
        <w:tc>
          <w:tcPr>
            <w:tcW w:w="573" w:type="dxa"/>
            <w:vMerge/>
            <w:vAlign w:val="center"/>
          </w:tcPr>
          <w:p w:rsidR="00400240" w:rsidRDefault="00400240">
            <w:pPr>
              <w:spacing w:line="560" w:lineRule="exact"/>
              <w:rPr>
                <w:rFonts w:ascii="仿宋_GB2312" w:eastAsia="仿宋_GB2312" w:hAnsi="仿宋_GB2312" w:cs="仿宋_GB2312"/>
                <w:sz w:val="32"/>
                <w:szCs w:val="32"/>
              </w:rPr>
            </w:pPr>
          </w:p>
        </w:tc>
        <w:tc>
          <w:tcPr>
            <w:tcW w:w="1769"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隐蔽伤员</w:t>
            </w:r>
          </w:p>
        </w:tc>
        <w:tc>
          <w:tcPr>
            <w:tcW w:w="4881"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．搬运姿势和搬运方法适当；</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．选取安全的前进姿势；</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．搬运伤员顺序适当。</w:t>
            </w:r>
          </w:p>
        </w:tc>
        <w:tc>
          <w:tcPr>
            <w:tcW w:w="1075" w:type="dxa"/>
            <w:vAlign w:val="center"/>
          </w:tcPr>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955" w:type="dxa"/>
            <w:vAlign w:val="center"/>
          </w:tcPr>
          <w:p w:rsidR="00400240" w:rsidRDefault="00400240">
            <w:pPr>
              <w:spacing w:line="560" w:lineRule="exact"/>
              <w:rPr>
                <w:rFonts w:ascii="仿宋_GB2312" w:eastAsia="仿宋_GB2312" w:hAnsi="仿宋_GB2312" w:cs="仿宋_GB2312"/>
                <w:sz w:val="32"/>
                <w:szCs w:val="32"/>
              </w:rPr>
            </w:pPr>
          </w:p>
        </w:tc>
      </w:tr>
    </w:tbl>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技术评定成绩：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技术专家签名：</w:t>
      </w:r>
    </w:p>
    <w:p w:rsidR="00400240" w:rsidRDefault="005D33F9">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“战场医疗救护”展示技术成绩评定表</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769"/>
        <w:gridCol w:w="4881"/>
        <w:gridCol w:w="1075"/>
        <w:gridCol w:w="955"/>
      </w:tblGrid>
      <w:tr w:rsidR="00400240">
        <w:trPr>
          <w:trHeight w:val="448"/>
        </w:trPr>
        <w:tc>
          <w:tcPr>
            <w:tcW w:w="2342" w:type="dxa"/>
            <w:gridSpan w:val="2"/>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4881"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评分标准</w:t>
            </w:r>
          </w:p>
        </w:tc>
        <w:tc>
          <w:tcPr>
            <w:tcW w:w="1075"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分值</w:t>
            </w:r>
          </w:p>
        </w:tc>
        <w:tc>
          <w:tcPr>
            <w:tcW w:w="955"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得分</w:t>
            </w:r>
          </w:p>
        </w:tc>
      </w:tr>
      <w:tr w:rsidR="00400240">
        <w:trPr>
          <w:trHeight w:val="836"/>
        </w:trPr>
        <w:tc>
          <w:tcPr>
            <w:tcW w:w="573" w:type="dxa"/>
            <w:vMerge w:val="restart"/>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技术</w:t>
            </w:r>
          </w:p>
        </w:tc>
        <w:tc>
          <w:tcPr>
            <w:tcW w:w="1769"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止血</w:t>
            </w:r>
          </w:p>
        </w:tc>
        <w:tc>
          <w:tcPr>
            <w:tcW w:w="4881"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．出血判断准确，确定部位迅速；</w:t>
            </w:r>
          </w:p>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．掌握橡皮止血带止血法。</w:t>
            </w:r>
          </w:p>
        </w:tc>
        <w:tc>
          <w:tcPr>
            <w:tcW w:w="1075"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955" w:type="dxa"/>
            <w:vAlign w:val="center"/>
          </w:tcPr>
          <w:p w:rsidR="00400240" w:rsidRDefault="00400240">
            <w:pPr>
              <w:spacing w:line="560" w:lineRule="exact"/>
              <w:rPr>
                <w:rFonts w:ascii="仿宋_GB2312" w:eastAsia="仿宋_GB2312" w:hAnsi="仿宋_GB2312" w:cs="仿宋_GB2312"/>
                <w:sz w:val="28"/>
                <w:szCs w:val="28"/>
              </w:rPr>
            </w:pPr>
          </w:p>
        </w:tc>
      </w:tr>
      <w:tr w:rsidR="00400240">
        <w:trPr>
          <w:trHeight w:val="1047"/>
        </w:trPr>
        <w:tc>
          <w:tcPr>
            <w:tcW w:w="573" w:type="dxa"/>
            <w:vMerge/>
          </w:tcPr>
          <w:p w:rsidR="00400240" w:rsidRDefault="00400240">
            <w:pPr>
              <w:spacing w:line="560" w:lineRule="exact"/>
              <w:rPr>
                <w:rFonts w:ascii="仿宋_GB2312" w:eastAsia="仿宋_GB2312" w:hAnsi="仿宋_GB2312" w:cs="仿宋_GB2312"/>
                <w:sz w:val="28"/>
                <w:szCs w:val="28"/>
              </w:rPr>
            </w:pPr>
          </w:p>
        </w:tc>
        <w:tc>
          <w:tcPr>
            <w:tcW w:w="1769"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包扎</w:t>
            </w:r>
          </w:p>
        </w:tc>
        <w:tc>
          <w:tcPr>
            <w:tcW w:w="4881"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．掌握包扎基本要求（快、准、轻、牢、细）；</w:t>
            </w:r>
          </w:p>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．包扎方法准确，动作迅速、谨慎。</w:t>
            </w:r>
          </w:p>
        </w:tc>
        <w:tc>
          <w:tcPr>
            <w:tcW w:w="1075"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955" w:type="dxa"/>
            <w:vAlign w:val="center"/>
          </w:tcPr>
          <w:p w:rsidR="00400240" w:rsidRDefault="00400240">
            <w:pPr>
              <w:spacing w:line="560" w:lineRule="exact"/>
              <w:rPr>
                <w:rFonts w:ascii="仿宋_GB2312" w:eastAsia="仿宋_GB2312" w:hAnsi="仿宋_GB2312" w:cs="仿宋_GB2312"/>
                <w:sz w:val="28"/>
                <w:szCs w:val="28"/>
              </w:rPr>
            </w:pPr>
          </w:p>
        </w:tc>
      </w:tr>
      <w:tr w:rsidR="00400240">
        <w:trPr>
          <w:trHeight w:val="1189"/>
        </w:trPr>
        <w:tc>
          <w:tcPr>
            <w:tcW w:w="573" w:type="dxa"/>
            <w:vMerge/>
          </w:tcPr>
          <w:p w:rsidR="00400240" w:rsidRDefault="00400240">
            <w:pPr>
              <w:spacing w:line="560" w:lineRule="exact"/>
              <w:rPr>
                <w:rFonts w:ascii="仿宋_GB2312" w:eastAsia="仿宋_GB2312" w:hAnsi="仿宋_GB2312" w:cs="仿宋_GB2312"/>
                <w:sz w:val="28"/>
                <w:szCs w:val="28"/>
              </w:rPr>
            </w:pPr>
          </w:p>
        </w:tc>
        <w:tc>
          <w:tcPr>
            <w:tcW w:w="1769"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固定</w:t>
            </w:r>
          </w:p>
        </w:tc>
        <w:tc>
          <w:tcPr>
            <w:tcW w:w="4881"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．掌握卷式夹板骨折固定法；</w:t>
            </w:r>
          </w:p>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．固定骨折的顺序得当；</w:t>
            </w:r>
          </w:p>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．加敷料</w:t>
            </w:r>
            <w:proofErr w:type="gramStart"/>
            <w:r>
              <w:rPr>
                <w:rFonts w:ascii="仿宋_GB2312" w:eastAsia="仿宋_GB2312" w:hAnsi="仿宋_GB2312" w:cs="仿宋_GB2312" w:hint="eastAsia"/>
                <w:sz w:val="28"/>
                <w:szCs w:val="28"/>
              </w:rPr>
              <w:t>垫合理</w:t>
            </w:r>
            <w:proofErr w:type="gramEnd"/>
            <w:r>
              <w:rPr>
                <w:rFonts w:ascii="仿宋_GB2312" w:eastAsia="仿宋_GB2312" w:hAnsi="仿宋_GB2312" w:cs="仿宋_GB2312" w:hint="eastAsia"/>
                <w:sz w:val="28"/>
                <w:szCs w:val="28"/>
              </w:rPr>
              <w:t>适当。</w:t>
            </w:r>
          </w:p>
        </w:tc>
        <w:tc>
          <w:tcPr>
            <w:tcW w:w="1075"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955" w:type="dxa"/>
            <w:vAlign w:val="center"/>
          </w:tcPr>
          <w:p w:rsidR="00400240" w:rsidRDefault="00400240">
            <w:pPr>
              <w:spacing w:line="560" w:lineRule="exact"/>
              <w:rPr>
                <w:rFonts w:ascii="仿宋_GB2312" w:eastAsia="仿宋_GB2312" w:hAnsi="仿宋_GB2312" w:cs="仿宋_GB2312"/>
                <w:sz w:val="28"/>
                <w:szCs w:val="28"/>
              </w:rPr>
            </w:pPr>
          </w:p>
        </w:tc>
      </w:tr>
      <w:tr w:rsidR="00400240">
        <w:trPr>
          <w:trHeight w:val="1277"/>
        </w:trPr>
        <w:tc>
          <w:tcPr>
            <w:tcW w:w="573" w:type="dxa"/>
            <w:vMerge/>
          </w:tcPr>
          <w:p w:rsidR="00400240" w:rsidRDefault="00400240">
            <w:pPr>
              <w:spacing w:line="560" w:lineRule="exact"/>
              <w:rPr>
                <w:rFonts w:ascii="仿宋_GB2312" w:eastAsia="仿宋_GB2312" w:hAnsi="仿宋_GB2312" w:cs="仿宋_GB2312"/>
                <w:sz w:val="28"/>
                <w:szCs w:val="28"/>
              </w:rPr>
            </w:pPr>
          </w:p>
        </w:tc>
        <w:tc>
          <w:tcPr>
            <w:tcW w:w="1769"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脱离战场后</w:t>
            </w:r>
          </w:p>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搬运</w:t>
            </w:r>
          </w:p>
        </w:tc>
        <w:tc>
          <w:tcPr>
            <w:tcW w:w="4881"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．使用担架方法适当，动作迅速；</w:t>
            </w:r>
          </w:p>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．移动伤员、固定伤员方法适当；</w:t>
            </w:r>
          </w:p>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．掌握不同地形担架搬运要求。</w:t>
            </w:r>
          </w:p>
        </w:tc>
        <w:tc>
          <w:tcPr>
            <w:tcW w:w="1075" w:type="dxa"/>
            <w:vAlign w:val="center"/>
          </w:tcPr>
          <w:p w:rsidR="00400240" w:rsidRDefault="005D33F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955" w:type="dxa"/>
            <w:vAlign w:val="center"/>
          </w:tcPr>
          <w:p w:rsidR="00400240" w:rsidRDefault="00400240">
            <w:pPr>
              <w:spacing w:line="560" w:lineRule="exact"/>
              <w:rPr>
                <w:rFonts w:ascii="仿宋_GB2312" w:eastAsia="仿宋_GB2312" w:hAnsi="仿宋_GB2312" w:cs="仿宋_GB2312"/>
                <w:sz w:val="28"/>
                <w:szCs w:val="28"/>
              </w:rPr>
            </w:pPr>
          </w:p>
        </w:tc>
      </w:tr>
    </w:tbl>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28"/>
          <w:szCs w:val="28"/>
        </w:rPr>
        <w:t>技术评定成绩：</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技术专家签名：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32"/>
          <w:szCs w:val="32"/>
        </w:rPr>
        <w:t xml:space="preserve"> </w:t>
      </w:r>
    </w:p>
    <w:p w:rsidR="00400240" w:rsidRDefault="005D33F9">
      <w:pPr>
        <w:spacing w:line="560" w:lineRule="exact"/>
        <w:rPr>
          <w:rFonts w:ascii="仿宋_GB2312" w:eastAsia="仿宋_GB2312" w:hAnsi="仿宋_GB2312" w:cs="仿宋_GB2312"/>
          <w:sz w:val="44"/>
          <w:szCs w:val="44"/>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w:t>
      </w:r>
      <w:proofErr w:type="gramStart"/>
      <w:r>
        <w:rPr>
          <w:rFonts w:ascii="黑体" w:eastAsia="黑体" w:hAnsi="黑体" w:cs="黑体" w:hint="eastAsia"/>
          <w:sz w:val="32"/>
          <w:szCs w:val="32"/>
        </w:rPr>
        <w:t>教师微课教学</w:t>
      </w:r>
      <w:proofErr w:type="gramEnd"/>
      <w:r>
        <w:rPr>
          <w:rFonts w:ascii="黑体" w:eastAsia="黑体" w:hAnsi="黑体" w:cs="黑体" w:hint="eastAsia"/>
          <w:sz w:val="32"/>
          <w:szCs w:val="32"/>
        </w:rPr>
        <w:t>展示细则</w:t>
      </w:r>
    </w:p>
    <w:p w:rsidR="00400240" w:rsidRDefault="005D33F9">
      <w:pPr>
        <w:widowControl/>
        <w:shd w:val="clear" w:color="auto" w:fill="FFFFFF"/>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（一）组织形式</w:t>
      </w:r>
    </w:p>
    <w:p w:rsidR="00400240" w:rsidRDefault="005D33F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每个参赛高校选派</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名教师参加“现场微课教学竞赛”。</w:t>
      </w:r>
    </w:p>
    <w:p w:rsidR="00400240" w:rsidRDefault="005D33F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（二）内容及要求</w:t>
      </w:r>
    </w:p>
    <w:p w:rsidR="00400240" w:rsidRDefault="005D33F9">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“微课”是指教师围绕某个知识点或教学环节开展的简短、完整的教学活动。参赛教师自选题目，精心备课，充分合理运用各种现代教育技术手段及设备，设计课程，准备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分钟以内的教学内容，并提供与教学内容配套的教案和多媒体教学课件。</w:t>
      </w:r>
      <w:r>
        <w:rPr>
          <w:rFonts w:ascii="仿宋_GB2312" w:eastAsia="仿宋_GB2312" w:hAnsi="仿宋_GB2312" w:cs="仿宋_GB2312" w:hint="eastAsia"/>
          <w:bCs/>
          <w:sz w:val="32"/>
          <w:szCs w:val="32"/>
        </w:rPr>
        <w:t>教学内容应遵循教育部、中央军委国防动员部联合制定的《普通高等学校军事课教学大纲》要求。</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教学方案要求</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教学方案（即“教案”）应（包括教学提要、教学进程、教学讲评等内容）反映教学背景、教学目标、教学思想、教学设计思路、教学</w:t>
      </w:r>
      <w:r>
        <w:rPr>
          <w:rFonts w:ascii="仿宋_GB2312" w:eastAsia="仿宋_GB2312" w:hAnsi="仿宋_GB2312" w:cs="仿宋_GB2312" w:hint="eastAsia"/>
          <w:sz w:val="32"/>
          <w:szCs w:val="32"/>
        </w:rPr>
        <w:t>重点和难点、教学方法和教学总结。文件格式统一为</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格式。</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多媒体教学课件要求</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教学课件应反映教学内容，与</w:t>
      </w:r>
      <w:proofErr w:type="gramStart"/>
      <w:r>
        <w:rPr>
          <w:rFonts w:ascii="仿宋_GB2312" w:eastAsia="仿宋_GB2312" w:hAnsi="仿宋_GB2312" w:cs="仿宋_GB2312" w:hint="eastAsia"/>
          <w:sz w:val="32"/>
          <w:szCs w:val="32"/>
        </w:rPr>
        <w:t>现场微课教学</w:t>
      </w:r>
      <w:proofErr w:type="gramEnd"/>
      <w:r>
        <w:rPr>
          <w:rFonts w:ascii="仿宋_GB2312" w:eastAsia="仿宋_GB2312" w:hAnsi="仿宋_GB2312" w:cs="仿宋_GB2312" w:hint="eastAsia"/>
          <w:sz w:val="32"/>
          <w:szCs w:val="32"/>
        </w:rPr>
        <w:t>合理搭配，格式统一为</w:t>
      </w:r>
      <w:r>
        <w:rPr>
          <w:rFonts w:ascii="仿宋_GB2312" w:eastAsia="仿宋_GB2312" w:hAnsi="仿宋_GB2312" w:cs="仿宋_GB2312" w:hint="eastAsia"/>
          <w:sz w:val="32"/>
          <w:szCs w:val="32"/>
        </w:rPr>
        <w:t>PPT</w:t>
      </w:r>
      <w:r>
        <w:rPr>
          <w:rFonts w:ascii="仿宋_GB2312" w:eastAsia="仿宋_GB2312" w:hAnsi="仿宋_GB2312" w:cs="仿宋_GB2312" w:hint="eastAsia"/>
          <w:sz w:val="32"/>
          <w:szCs w:val="32"/>
        </w:rPr>
        <w:t>格式。</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现场微课教学</w:t>
      </w:r>
      <w:proofErr w:type="gramEnd"/>
      <w:r>
        <w:rPr>
          <w:rFonts w:ascii="仿宋_GB2312" w:eastAsia="仿宋_GB2312" w:hAnsi="仿宋_GB2312" w:cs="仿宋_GB2312" w:hint="eastAsia"/>
          <w:sz w:val="32"/>
          <w:szCs w:val="32"/>
        </w:rPr>
        <w:t>竞赛要求</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w:t>
      </w:r>
      <w:proofErr w:type="gramStart"/>
      <w:r>
        <w:rPr>
          <w:rFonts w:ascii="仿宋_GB2312" w:eastAsia="仿宋_GB2312" w:hAnsi="仿宋_GB2312" w:cs="仿宋_GB2312" w:hint="eastAsia"/>
          <w:sz w:val="32"/>
          <w:szCs w:val="32"/>
        </w:rPr>
        <w:t>微课教学竞赛按</w:t>
      </w:r>
      <w:proofErr w:type="gramEnd"/>
      <w:r>
        <w:rPr>
          <w:rFonts w:ascii="仿宋_GB2312" w:eastAsia="仿宋_GB2312" w:hAnsi="仿宋_GB2312" w:cs="仿宋_GB2312" w:hint="eastAsia"/>
          <w:sz w:val="32"/>
          <w:szCs w:val="32"/>
        </w:rPr>
        <w:t>上述要求准备教案和多媒体课件，</w:t>
      </w:r>
      <w:r>
        <w:rPr>
          <w:rFonts w:ascii="仿宋_GB2312" w:eastAsia="仿宋_GB2312" w:hAnsi="仿宋_GB2312" w:cs="仿宋_GB2312" w:hint="eastAsia"/>
          <w:sz w:val="32"/>
          <w:szCs w:val="32"/>
        </w:rPr>
        <w:lastRenderedPageBreak/>
        <w:t>无需录制教学视频。教案和多媒体教学课件刻录在同一张光盘中一并提交。光盘文件名统一为：学校名称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参赛教师姓名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教学标题。光盘应质地良好，盘面平整、无划痕，易于电脑读取播放。</w:t>
      </w:r>
    </w:p>
    <w:p w:rsidR="00400240" w:rsidRDefault="005D33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参赛作品须为本人原创，如发现参赛作品侵犯他人著作权，或者有不良信息内容，取消相关教师参赛资格。</w:t>
      </w:r>
    </w:p>
    <w:p w:rsidR="00400240" w:rsidRDefault="005D33F9">
      <w:pPr>
        <w:widowControl/>
        <w:shd w:val="clear" w:color="auto" w:fill="FFFFFF"/>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（三）展示时间地点</w:t>
      </w:r>
    </w:p>
    <w:p w:rsidR="00400240" w:rsidRDefault="005D33F9">
      <w:pPr>
        <w:widowControl/>
        <w:shd w:val="clear" w:color="auto" w:fill="FFFFFF"/>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日，在临沂青少年示范性综合实践基地举行</w:t>
      </w:r>
      <w:proofErr w:type="gramStart"/>
      <w:r>
        <w:rPr>
          <w:rFonts w:ascii="仿宋_GB2312" w:eastAsia="仿宋_GB2312" w:hAnsi="仿宋_GB2312" w:cs="仿宋_GB2312" w:hint="eastAsia"/>
          <w:sz w:val="32"/>
          <w:szCs w:val="32"/>
        </w:rPr>
        <w:t>现场微课教学</w:t>
      </w:r>
      <w:proofErr w:type="gramEnd"/>
      <w:r>
        <w:rPr>
          <w:rFonts w:ascii="仿宋_GB2312" w:eastAsia="仿宋_GB2312" w:hAnsi="仿宋_GB2312" w:cs="仿宋_GB2312" w:hint="eastAsia"/>
          <w:sz w:val="32"/>
          <w:szCs w:val="32"/>
        </w:rPr>
        <w:t>竞赛，请各参赛教师于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日前将参赛材料（教学方案、多媒体课件</w:t>
      </w:r>
      <w:r>
        <w:rPr>
          <w:rFonts w:ascii="仿宋_GB2312" w:eastAsia="仿宋_GB2312" w:hAnsi="仿宋_GB2312" w:cs="仿宋_GB2312" w:hint="eastAsia"/>
          <w:sz w:val="32"/>
          <w:szCs w:val="32"/>
        </w:rPr>
        <w:t>PPT</w:t>
      </w:r>
      <w:r>
        <w:rPr>
          <w:rFonts w:ascii="仿宋_GB2312" w:eastAsia="仿宋_GB2312" w:hAnsi="仿宋_GB2312" w:cs="仿宋_GB2312" w:hint="eastAsia"/>
          <w:sz w:val="32"/>
          <w:szCs w:val="32"/>
        </w:rPr>
        <w:t>）用</w:t>
      </w:r>
      <w:r>
        <w:rPr>
          <w:rFonts w:ascii="仿宋_GB2312" w:eastAsia="仿宋_GB2312" w:hAnsi="仿宋_GB2312" w:cs="仿宋_GB2312" w:hint="eastAsia"/>
          <w:sz w:val="32"/>
          <w:szCs w:val="32"/>
        </w:rPr>
        <w:t>U</w:t>
      </w:r>
      <w:r>
        <w:rPr>
          <w:rFonts w:ascii="仿宋_GB2312" w:eastAsia="仿宋_GB2312" w:hAnsi="仿宋_GB2312" w:cs="仿宋_GB2312" w:hint="eastAsia"/>
          <w:sz w:val="32"/>
          <w:szCs w:val="32"/>
        </w:rPr>
        <w:t>盘或光盘形式邮寄</w:t>
      </w:r>
      <w:proofErr w:type="gramStart"/>
      <w:r>
        <w:rPr>
          <w:rFonts w:ascii="仿宋_GB2312" w:eastAsia="仿宋_GB2312" w:hAnsi="仿宋_GB2312" w:cs="仿宋_GB2312" w:hint="eastAsia"/>
          <w:sz w:val="32"/>
          <w:szCs w:val="32"/>
        </w:rPr>
        <w:t>至展示</w:t>
      </w:r>
      <w:proofErr w:type="gramEnd"/>
      <w:r>
        <w:rPr>
          <w:rFonts w:ascii="仿宋_GB2312" w:eastAsia="仿宋_GB2312" w:hAnsi="仿宋_GB2312" w:cs="仿宋_GB2312" w:hint="eastAsia"/>
          <w:sz w:val="32"/>
          <w:szCs w:val="32"/>
        </w:rPr>
        <w:t>活动组委会</w:t>
      </w:r>
      <w:r>
        <w:rPr>
          <w:rFonts w:ascii="仿宋_GB2312" w:eastAsia="仿宋_GB2312" w:hAnsi="仿宋_GB2312" w:cs="仿宋_GB2312" w:hint="eastAsia"/>
          <w:spacing w:val="27"/>
          <w:sz w:val="32"/>
          <w:szCs w:val="32"/>
        </w:rPr>
        <w:t>。</w:t>
      </w:r>
      <w:r>
        <w:rPr>
          <w:rFonts w:ascii="仿宋_GB2312" w:eastAsia="仿宋_GB2312" w:hAnsi="仿宋_GB2312" w:cs="仿宋_GB2312" w:hint="eastAsia"/>
          <w:sz w:val="32"/>
          <w:szCs w:val="32"/>
        </w:rPr>
        <w:t>信封内请附纸质材料说明参赛教师简要信息（包括学校名称、教师姓名、手机号码和授课内容等）。</w:t>
      </w:r>
    </w:p>
    <w:p w:rsidR="00400240" w:rsidRDefault="005D33F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（四）评分标准</w:t>
      </w:r>
    </w:p>
    <w:p w:rsidR="00400240" w:rsidRDefault="005D33F9">
      <w:pPr>
        <w:widowControl/>
        <w:shd w:val="clear" w:color="auto" w:fill="FFFFFF"/>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微课教学</w:t>
      </w:r>
      <w:proofErr w:type="gramEnd"/>
      <w:r>
        <w:rPr>
          <w:rFonts w:ascii="仿宋_GB2312" w:eastAsia="仿宋_GB2312" w:hAnsi="仿宋_GB2312" w:cs="仿宋_GB2312" w:hint="eastAsia"/>
          <w:sz w:val="32"/>
          <w:szCs w:val="32"/>
        </w:rPr>
        <w:t>竞赛分为教学设计和课堂教学两部分，分值分别为教学设计</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分、课堂教学</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分。</w:t>
      </w:r>
    </w:p>
    <w:p w:rsidR="00400240" w:rsidRDefault="005D33F9">
      <w:pPr>
        <w:pStyle w:val="Default"/>
        <w:spacing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1.</w:t>
      </w:r>
      <w:r>
        <w:rPr>
          <w:rFonts w:ascii="仿宋_GB2312" w:eastAsia="仿宋_GB2312" w:hAnsi="仿宋_GB2312" w:cs="仿宋_GB2312" w:hint="eastAsia"/>
          <w:color w:val="auto"/>
          <w:sz w:val="32"/>
          <w:szCs w:val="32"/>
        </w:rPr>
        <w:t>教学设计</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20</w:t>
      </w:r>
      <w:r>
        <w:rPr>
          <w:rFonts w:ascii="仿宋_GB2312" w:eastAsia="仿宋_GB2312" w:hAnsi="仿宋_GB2312" w:cs="仿宋_GB2312" w:hint="eastAsia"/>
          <w:color w:val="auto"/>
          <w:sz w:val="32"/>
          <w:szCs w:val="32"/>
        </w:rPr>
        <w:t>分）</w:t>
      </w:r>
    </w:p>
    <w:p w:rsidR="00400240" w:rsidRDefault="005D33F9">
      <w:pPr>
        <w:pStyle w:val="Default"/>
        <w:spacing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参加展示的教师准备所展示课程内容的教学方案和与之相对应的</w:t>
      </w:r>
      <w:r>
        <w:rPr>
          <w:rFonts w:ascii="仿宋_GB2312" w:eastAsia="仿宋_GB2312" w:hAnsi="仿宋_GB2312" w:cs="仿宋_GB2312" w:hint="eastAsia"/>
          <w:color w:val="auto"/>
          <w:sz w:val="32"/>
          <w:szCs w:val="32"/>
        </w:rPr>
        <w:t>PPT</w:t>
      </w:r>
      <w:r>
        <w:rPr>
          <w:rFonts w:ascii="仿宋_GB2312" w:eastAsia="仿宋_GB2312" w:hAnsi="仿宋_GB2312" w:cs="仿宋_GB2312" w:hint="eastAsia"/>
          <w:color w:val="auto"/>
          <w:sz w:val="32"/>
          <w:szCs w:val="32"/>
        </w:rPr>
        <w:t>，评委将对教学方案和</w:t>
      </w:r>
      <w:r>
        <w:rPr>
          <w:rFonts w:ascii="仿宋_GB2312" w:eastAsia="仿宋_GB2312" w:hAnsi="仿宋_GB2312" w:cs="仿宋_GB2312" w:hint="eastAsia"/>
          <w:color w:val="auto"/>
          <w:sz w:val="32"/>
          <w:szCs w:val="32"/>
        </w:rPr>
        <w:t>PPT</w:t>
      </w:r>
      <w:r>
        <w:rPr>
          <w:rFonts w:ascii="仿宋_GB2312" w:eastAsia="仿宋_GB2312" w:hAnsi="仿宋_GB2312" w:cs="仿宋_GB2312" w:hint="eastAsia"/>
          <w:color w:val="auto"/>
          <w:sz w:val="32"/>
          <w:szCs w:val="32"/>
        </w:rPr>
        <w:t>进行评分（评分细则见附件</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 xml:space="preserve"> </w:t>
      </w:r>
    </w:p>
    <w:p w:rsidR="00400240" w:rsidRDefault="005D33F9">
      <w:pPr>
        <w:pStyle w:val="Default"/>
        <w:spacing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2.</w:t>
      </w:r>
      <w:r>
        <w:rPr>
          <w:rFonts w:ascii="仿宋_GB2312" w:eastAsia="仿宋_GB2312" w:hAnsi="仿宋_GB2312" w:cs="仿宋_GB2312" w:hint="eastAsia"/>
          <w:color w:val="auto"/>
          <w:sz w:val="32"/>
          <w:szCs w:val="32"/>
        </w:rPr>
        <w:t>课堂教学</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80</w:t>
      </w:r>
      <w:r>
        <w:rPr>
          <w:rFonts w:ascii="仿宋_GB2312" w:eastAsia="仿宋_GB2312" w:hAnsi="仿宋_GB2312" w:cs="仿宋_GB2312" w:hint="eastAsia"/>
          <w:color w:val="auto"/>
          <w:sz w:val="32"/>
          <w:szCs w:val="32"/>
        </w:rPr>
        <w:t>分）</w:t>
      </w:r>
    </w:p>
    <w:p w:rsidR="00400240" w:rsidRDefault="005D33F9">
      <w:pPr>
        <w:widowControl/>
        <w:shd w:val="clear" w:color="auto" w:fill="FFFFFF"/>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参加展示的教师进行现场授课，课堂教学时间不超过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分钟。评委主要从教学目标、教学内容、教学组织、教学语言与教态、教学方法、教学效果及特色等方面进行考评（评</w:t>
      </w:r>
      <w:r>
        <w:rPr>
          <w:rFonts w:ascii="仿宋_GB2312" w:eastAsia="仿宋_GB2312" w:hAnsi="仿宋_GB2312" w:cs="仿宋_GB2312" w:hint="eastAsia"/>
          <w:sz w:val="32"/>
          <w:szCs w:val="32"/>
        </w:rPr>
        <w:lastRenderedPageBreak/>
        <w:t>分细则见附件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）。根据各自展示课程需要，选手可携带教学模型、挂图等，白板笔、翻页器由组委会统一提供。</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五、爱国主义演讲细则</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（一）展示主题</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以“赞颂辉煌成就、</w:t>
      </w:r>
      <w:r>
        <w:rPr>
          <w:rFonts w:ascii="仿宋_GB2312" w:eastAsia="仿宋_GB2312" w:hAnsi="仿宋_GB2312" w:cs="仿宋_GB2312" w:hint="eastAsia"/>
          <w:sz w:val="32"/>
          <w:szCs w:val="32"/>
        </w:rPr>
        <w:t>军民同心筑梦”为主题，以弘扬爱国主义精神、传承红色基因为主旨，着力激发大学生关心国防、热爱国防、建设国防、保卫国防的政治热情。</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（二）展示内容</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结合学习贯彻习近平新时代中国特色社会主义思想和习近平强军思想，抒发对实现中国梦强军梦的理解感悟。</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结合党史军史学习，讲述人民军队筚路蓝缕的发展历程，抒发对我军光辉历史和新时代职能使命的理解感悟。</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联系全党</w:t>
      </w:r>
      <w:proofErr w:type="gramEnd"/>
      <w:r>
        <w:rPr>
          <w:rFonts w:ascii="仿宋_GB2312" w:eastAsia="仿宋_GB2312" w:hAnsi="仿宋_GB2312" w:cs="仿宋_GB2312" w:hint="eastAsia"/>
          <w:sz w:val="32"/>
          <w:szCs w:val="32"/>
        </w:rPr>
        <w:t>全军全国人民战“疫”斗争的生动实践，深刻讲述如何正确看待党的坚强领导、巨大制度优势、人民军队中流砥柱作用，“最美逆行”英勇壮举和众志成城抗击疫情</w:t>
      </w:r>
      <w:r>
        <w:rPr>
          <w:rFonts w:ascii="仿宋_GB2312" w:eastAsia="仿宋_GB2312" w:hAnsi="仿宋_GB2312" w:cs="仿宋_GB2312" w:hint="eastAsia"/>
          <w:sz w:val="32"/>
          <w:szCs w:val="32"/>
        </w:rPr>
        <w:t>的精神，广泛凝聚起热爱党、热爱祖国、热爱人民军队的强大精神力量。</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结合近代以来仁人志士为中华崛起而奋力求索的事迹，讲述当代大学生对英雄的理解感悟和传承，抒发用青春报效祖国的使命情怀。</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联系身边人身边事、宣扬情系国防和献身国防、无私奉献的先进典型，激发广大学生关心支持国防和军队建设的热情。</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结合大学生参军入伍，谈对立志从军报国、以实际行</w:t>
      </w:r>
      <w:r>
        <w:rPr>
          <w:rFonts w:ascii="仿宋_GB2312" w:eastAsia="仿宋_GB2312" w:hAnsi="仿宋_GB2312" w:cs="仿宋_GB2312" w:hint="eastAsia"/>
          <w:sz w:val="32"/>
          <w:szCs w:val="32"/>
        </w:rPr>
        <w:lastRenderedPageBreak/>
        <w:t>动筑梦国防、在军营</w:t>
      </w:r>
      <w:proofErr w:type="gramStart"/>
      <w:r>
        <w:rPr>
          <w:rFonts w:ascii="仿宋_GB2312" w:eastAsia="仿宋_GB2312" w:hAnsi="仿宋_GB2312" w:cs="仿宋_GB2312" w:hint="eastAsia"/>
          <w:sz w:val="32"/>
          <w:szCs w:val="32"/>
        </w:rPr>
        <w:t>砺炼成长</w:t>
      </w:r>
      <w:proofErr w:type="gramEnd"/>
      <w:r>
        <w:rPr>
          <w:rFonts w:ascii="仿宋_GB2312" w:eastAsia="仿宋_GB2312" w:hAnsi="仿宋_GB2312" w:cs="仿宋_GB2312" w:hint="eastAsia"/>
          <w:sz w:val="32"/>
          <w:szCs w:val="32"/>
        </w:rPr>
        <w:t>的理解和感受。</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随着互联网等新兴媒体的兴起，网络已经成为意识形态斗争的主战场，分享如何唱响网上思想文化主旋律，推动优秀传统文化和当代文</w:t>
      </w:r>
      <w:r>
        <w:rPr>
          <w:rFonts w:ascii="仿宋_GB2312" w:eastAsia="仿宋_GB2312" w:hAnsi="仿宋_GB2312" w:cs="仿宋_GB2312" w:hint="eastAsia"/>
          <w:sz w:val="32"/>
          <w:szCs w:val="32"/>
        </w:rPr>
        <w:t>化精品网络传播，以及对敌对势力进行的“文化入侵、颜色革命、和平演变”等一系列意识形态斗争的认知。</w:t>
      </w:r>
    </w:p>
    <w:p w:rsidR="00400240" w:rsidRDefault="005D33F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“传承红色基因、建设强大国防”的其他创新题材。</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选手的演讲稿由推荐学校严格把关，确保符合党的路线方针政策和国家法律法规，做到主题鲜明、格调高雅、观点正确。</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（三）展示时间及形式</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日，每个参赛高校只参加</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名参赛选手均需参加。演讲过程中可采取</w:t>
      </w:r>
      <w:r>
        <w:rPr>
          <w:rFonts w:ascii="仿宋_GB2312" w:eastAsia="仿宋_GB2312" w:hAnsi="仿宋_GB2312" w:cs="仿宋_GB2312" w:hint="eastAsia"/>
          <w:sz w:val="32"/>
          <w:szCs w:val="32"/>
        </w:rPr>
        <w:t>PPT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H5</w:t>
      </w:r>
      <w:r>
        <w:rPr>
          <w:rFonts w:ascii="仿宋_GB2312" w:eastAsia="仿宋_GB2312" w:hAnsi="仿宋_GB2312" w:cs="仿宋_GB2312" w:hint="eastAsia"/>
          <w:sz w:val="32"/>
          <w:szCs w:val="32"/>
        </w:rPr>
        <w:t>等多媒体形式，演讲时间控制在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分钟以内。</w:t>
      </w:r>
    </w:p>
    <w:p w:rsidR="00400240" w:rsidRDefault="005D33F9">
      <w:pPr>
        <w:spacing w:line="560" w:lineRule="exact"/>
        <w:ind w:firstLine="640"/>
        <w:rPr>
          <w:rFonts w:ascii="楷体" w:eastAsia="楷体" w:hAnsi="楷体" w:cs="楷体"/>
          <w:sz w:val="32"/>
          <w:szCs w:val="32"/>
        </w:rPr>
      </w:pPr>
      <w:r>
        <w:rPr>
          <w:rFonts w:ascii="楷体" w:eastAsia="楷体" w:hAnsi="楷体" w:cs="楷体" w:hint="eastAsia"/>
          <w:sz w:val="32"/>
          <w:szCs w:val="32"/>
        </w:rPr>
        <w:t>（四）评分标准</w:t>
      </w:r>
    </w:p>
    <w:p w:rsidR="00400240" w:rsidRDefault="005D33F9">
      <w:pPr>
        <w:spacing w:line="560" w:lineRule="exact"/>
        <w:rPr>
          <w:rFonts w:ascii="仿宋_GB2312" w:eastAsia="仿宋_GB2312" w:hAnsi="仿宋_GB2312" w:cs="仿宋_GB2312"/>
          <w:sz w:val="32"/>
          <w:szCs w:val="32"/>
        </w:rPr>
      </w:pPr>
      <w:r>
        <w:rPr>
          <w:rFonts w:ascii="楷体" w:eastAsia="楷体" w:hAnsi="楷体" w:cs="楷体" w:hint="eastAsia"/>
          <w:sz w:val="32"/>
          <w:szCs w:val="32"/>
        </w:rPr>
        <w:t xml:space="preserve">   </w:t>
      </w: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演讲内容（</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）主题（</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分）：主题鲜明深刻，立意新颖，观点正确，见解独到，格调积极向上。</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）材料（</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分）：材料真实、典型、新颖，内容充实，能联系实际，贴近生活，反映客观事实、具有普遍意义，体现一定的时代精神。</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）结构（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分）：结构完整合理，层次分明，论点、论据具有逻辑性；构思巧妙，引人入胜。</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语言表达（</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）表达（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口齿清晰，自然流畅，准确简明，语速适当，富有节奏感。</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）情感（</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声情并茂，抑扬顿挫，符合情感变化，具有感染力。</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）举止（</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讲究演讲技巧，动作恰当，自然得体，朝气蓬勃，精神饱满。</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）仪态（</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服装整洁，端庄大方，上下场致意，答谢等礼仪。</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综合效果</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根据演讲选手脱稿情况、临场表现</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综合演讲素质的评价。</w:t>
      </w:r>
    </w:p>
    <w:p w:rsidR="00400240" w:rsidRDefault="005D33F9">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sz w:val="32"/>
          <w:szCs w:val="32"/>
        </w:rPr>
        <w:t>（五）排名规则</w:t>
      </w:r>
    </w:p>
    <w:p w:rsidR="00400240" w:rsidRDefault="005D33F9">
      <w:pPr>
        <w:spacing w:line="560" w:lineRule="exact"/>
        <w:rPr>
          <w:rFonts w:ascii="仿宋_GB2312" w:eastAsia="仿宋_GB2312" w:hAnsi="仿宋_GB2312" w:cs="仿宋_GB2312"/>
          <w:sz w:val="32"/>
          <w:szCs w:val="32"/>
        </w:rPr>
      </w:pPr>
      <w:r>
        <w:rPr>
          <w:rFonts w:ascii="楷体" w:eastAsia="楷体" w:hAnsi="楷体" w:cs="楷体" w:hint="eastAsia"/>
          <w:sz w:val="32"/>
          <w:szCs w:val="32"/>
        </w:rPr>
        <w:t xml:space="preserve">   </w:t>
      </w: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各代表队依照抽签顺序依次演讲，评委评分，每五支代表队为一组，每组演讲完毕后，公布各代表队的得分情况。</w:t>
      </w:r>
      <w:r>
        <w:rPr>
          <w:rFonts w:ascii="仿宋_GB2312" w:eastAsia="仿宋_GB2312" w:hAnsi="仿宋_GB2312" w:cs="仿宋_GB2312" w:hint="eastAsia"/>
          <w:sz w:val="32"/>
          <w:szCs w:val="32"/>
        </w:rPr>
        <w:t xml:space="preserve"> </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各代表队成绩按得分的平均</w:t>
      </w:r>
      <w:r>
        <w:rPr>
          <w:rFonts w:ascii="仿宋_GB2312" w:eastAsia="仿宋_GB2312" w:hAnsi="仿宋_GB2312" w:cs="仿宋_GB2312" w:hint="eastAsia"/>
          <w:sz w:val="32"/>
          <w:szCs w:val="32"/>
        </w:rPr>
        <w:t>分进行排序（评委评分去掉一个最高分和一个最低分，之和取平均数，取小数点后两位），分数相等则以综合效果、语言表达、演讲内容的顺序，得分高者排名列前。</w:t>
      </w: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代表队迟到超过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分钟、缺席、不服从主办方管理的算作弃赛，计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p>
    <w:p w:rsidR="00400240" w:rsidRDefault="00400240">
      <w:pPr>
        <w:spacing w:line="560" w:lineRule="exact"/>
        <w:rPr>
          <w:rFonts w:ascii="仿宋_GB2312" w:eastAsia="仿宋_GB2312" w:hAnsi="仿宋_GB2312" w:cs="仿宋_GB2312"/>
          <w:sz w:val="32"/>
          <w:szCs w:val="32"/>
        </w:rPr>
      </w:pPr>
    </w:p>
    <w:p w:rsidR="00400240" w:rsidRDefault="00400240">
      <w:pPr>
        <w:spacing w:line="560" w:lineRule="exact"/>
        <w:rPr>
          <w:rFonts w:ascii="仿宋_GB2312" w:eastAsia="仿宋_GB2312" w:hAnsi="仿宋_GB2312" w:cs="仿宋_GB2312"/>
          <w:sz w:val="32"/>
          <w:szCs w:val="32"/>
        </w:rPr>
      </w:pPr>
    </w:p>
    <w:p w:rsidR="00400240" w:rsidRDefault="00400240">
      <w:pPr>
        <w:spacing w:line="560" w:lineRule="exact"/>
        <w:rPr>
          <w:rFonts w:ascii="仿宋_GB2312" w:eastAsia="仿宋_GB2312" w:hAnsi="仿宋_GB2312" w:cs="仿宋_GB2312"/>
          <w:sz w:val="32"/>
          <w:szCs w:val="32"/>
        </w:rPr>
      </w:pPr>
    </w:p>
    <w:p w:rsidR="00400240" w:rsidRDefault="00400240">
      <w:pPr>
        <w:spacing w:line="560" w:lineRule="exact"/>
        <w:rPr>
          <w:rFonts w:ascii="仿宋_GB2312" w:eastAsia="仿宋_GB2312" w:hAnsi="仿宋_GB2312" w:cs="仿宋_GB2312"/>
          <w:sz w:val="32"/>
          <w:szCs w:val="32"/>
        </w:rPr>
        <w:sectPr w:rsidR="00400240">
          <w:pgSz w:w="11906" w:h="16838"/>
          <w:pgMar w:top="1440" w:right="1800" w:bottom="1440" w:left="1800" w:header="851" w:footer="992" w:gutter="0"/>
          <w:cols w:space="425"/>
          <w:docGrid w:type="lines" w:linePitch="312"/>
        </w:sectPr>
      </w:pPr>
    </w:p>
    <w:p w:rsidR="00400240" w:rsidRDefault="005D33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p>
    <w:p w:rsidR="00400240" w:rsidRDefault="005D33F9">
      <w:pPr>
        <w:pStyle w:val="a3"/>
        <w:spacing w:after="240"/>
        <w:rPr>
          <w:rFonts w:ascii="仿宋_GB2312" w:eastAsia="仿宋_GB2312" w:hAnsi="仿宋_GB2312" w:cs="仿宋_GB2312"/>
        </w:rPr>
      </w:pPr>
      <w:r>
        <w:rPr>
          <w:rFonts w:ascii="仿宋_GB2312" w:eastAsia="仿宋_GB2312" w:hAnsi="仿宋_GB2312" w:cs="仿宋_GB2312" w:hint="eastAsia"/>
        </w:rPr>
        <w:t>2021</w:t>
      </w:r>
      <w:r>
        <w:rPr>
          <w:rFonts w:ascii="仿宋_GB2312" w:eastAsia="仿宋_GB2312" w:hAnsi="仿宋_GB2312" w:cs="仿宋_GB2312" w:hint="eastAsia"/>
        </w:rPr>
        <w:t>年度山东省高校军事课教学展示报名表</w:t>
      </w:r>
    </w:p>
    <w:p w:rsidR="00400240" w:rsidRDefault="005D33F9">
      <w:pPr>
        <w:rPr>
          <w:rFonts w:ascii="仿宋_GB2312" w:eastAsia="仿宋_GB2312" w:hAnsi="仿宋_GB2312" w:cs="仿宋_GB2312"/>
          <w:sz w:val="24"/>
        </w:rPr>
      </w:pPr>
      <w:r>
        <w:rPr>
          <w:rFonts w:ascii="仿宋_GB2312" w:eastAsia="仿宋_GB2312" w:hAnsi="仿宋_GB2312" w:cs="仿宋_GB2312" w:hint="eastAsia"/>
          <w:sz w:val="24"/>
        </w:rPr>
        <w:t>学校名称：（加盖学校公章）</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1984"/>
        <w:gridCol w:w="709"/>
        <w:gridCol w:w="709"/>
        <w:gridCol w:w="1729"/>
        <w:gridCol w:w="2552"/>
        <w:gridCol w:w="1672"/>
        <w:gridCol w:w="851"/>
      </w:tblGrid>
      <w:tr w:rsidR="00400240">
        <w:trPr>
          <w:trHeight w:val="604"/>
        </w:trPr>
        <w:tc>
          <w:tcPr>
            <w:tcW w:w="1242" w:type="dxa"/>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所在单位</w:t>
            </w:r>
          </w:p>
        </w:tc>
        <w:tc>
          <w:tcPr>
            <w:tcW w:w="993"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姓名</w:t>
            </w:r>
          </w:p>
        </w:tc>
        <w:tc>
          <w:tcPr>
            <w:tcW w:w="1984"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职务</w:t>
            </w:r>
          </w:p>
        </w:tc>
        <w:tc>
          <w:tcPr>
            <w:tcW w:w="709"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性别</w:t>
            </w:r>
          </w:p>
        </w:tc>
        <w:tc>
          <w:tcPr>
            <w:tcW w:w="709"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民族</w:t>
            </w:r>
          </w:p>
        </w:tc>
        <w:tc>
          <w:tcPr>
            <w:tcW w:w="1729"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出生年月</w:t>
            </w:r>
          </w:p>
        </w:tc>
        <w:tc>
          <w:tcPr>
            <w:tcW w:w="2552"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身份证号</w:t>
            </w:r>
          </w:p>
        </w:tc>
        <w:tc>
          <w:tcPr>
            <w:tcW w:w="1672"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手机号码</w:t>
            </w:r>
          </w:p>
        </w:tc>
        <w:tc>
          <w:tcPr>
            <w:tcW w:w="851"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备注</w:t>
            </w:r>
          </w:p>
        </w:tc>
      </w:tr>
      <w:tr w:rsidR="00400240">
        <w:trPr>
          <w:trHeight w:val="696"/>
        </w:trPr>
        <w:tc>
          <w:tcPr>
            <w:tcW w:w="1242" w:type="dxa"/>
            <w:vAlign w:val="center"/>
          </w:tcPr>
          <w:p w:rsidR="00400240" w:rsidRDefault="005D33F9">
            <w:pPr>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领队</w:t>
            </w: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517"/>
        </w:trPr>
        <w:tc>
          <w:tcPr>
            <w:tcW w:w="1242" w:type="dxa"/>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487"/>
        </w:trPr>
        <w:tc>
          <w:tcPr>
            <w:tcW w:w="1242" w:type="dxa"/>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474"/>
        </w:trPr>
        <w:tc>
          <w:tcPr>
            <w:tcW w:w="1242" w:type="dxa"/>
            <w:vMerge w:val="restart"/>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492"/>
        </w:trPr>
        <w:tc>
          <w:tcPr>
            <w:tcW w:w="1242" w:type="dxa"/>
            <w:vMerge/>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474"/>
        </w:trPr>
        <w:tc>
          <w:tcPr>
            <w:tcW w:w="1242" w:type="dxa"/>
            <w:vMerge/>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492"/>
        </w:trPr>
        <w:tc>
          <w:tcPr>
            <w:tcW w:w="1242" w:type="dxa"/>
            <w:vMerge/>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492"/>
        </w:trPr>
        <w:tc>
          <w:tcPr>
            <w:tcW w:w="1242" w:type="dxa"/>
            <w:vMerge/>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474"/>
        </w:trPr>
        <w:tc>
          <w:tcPr>
            <w:tcW w:w="1242" w:type="dxa"/>
            <w:vMerge/>
            <w:vAlign w:val="center"/>
          </w:tcPr>
          <w:p w:rsidR="00400240" w:rsidRDefault="00400240">
            <w:pPr>
              <w:jc w:val="center"/>
              <w:rPr>
                <w:rFonts w:ascii="仿宋_GB2312" w:eastAsia="仿宋_GB2312" w:hAnsi="仿宋_GB2312" w:cs="仿宋_GB2312"/>
                <w:sz w:val="24"/>
                <w:szCs w:val="21"/>
              </w:rPr>
            </w:pPr>
          </w:p>
        </w:tc>
        <w:tc>
          <w:tcPr>
            <w:tcW w:w="1701" w:type="dxa"/>
            <w:vAlign w:val="center"/>
          </w:tcPr>
          <w:p w:rsidR="00400240" w:rsidRDefault="00400240">
            <w:pPr>
              <w:jc w:val="center"/>
              <w:rPr>
                <w:rFonts w:ascii="仿宋_GB2312" w:eastAsia="仿宋_GB2312" w:hAnsi="仿宋_GB2312" w:cs="仿宋_GB2312"/>
                <w:sz w:val="24"/>
                <w:szCs w:val="21"/>
              </w:rPr>
            </w:pPr>
          </w:p>
        </w:tc>
        <w:tc>
          <w:tcPr>
            <w:tcW w:w="993" w:type="dxa"/>
            <w:vAlign w:val="center"/>
          </w:tcPr>
          <w:p w:rsidR="00400240" w:rsidRDefault="00400240">
            <w:pPr>
              <w:jc w:val="center"/>
              <w:rPr>
                <w:rFonts w:ascii="仿宋_GB2312" w:eastAsia="仿宋_GB2312" w:hAnsi="仿宋_GB2312" w:cs="仿宋_GB2312"/>
                <w:sz w:val="24"/>
                <w:szCs w:val="21"/>
              </w:rPr>
            </w:pPr>
          </w:p>
        </w:tc>
        <w:tc>
          <w:tcPr>
            <w:tcW w:w="1984" w:type="dxa"/>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709" w:type="dxa"/>
            <w:vAlign w:val="center"/>
          </w:tcPr>
          <w:p w:rsidR="00400240" w:rsidRDefault="00400240">
            <w:pPr>
              <w:jc w:val="center"/>
              <w:rPr>
                <w:rFonts w:ascii="仿宋_GB2312" w:eastAsia="仿宋_GB2312" w:hAnsi="仿宋_GB2312" w:cs="仿宋_GB2312"/>
                <w:sz w:val="24"/>
                <w:szCs w:val="21"/>
              </w:rPr>
            </w:pPr>
          </w:p>
        </w:tc>
        <w:tc>
          <w:tcPr>
            <w:tcW w:w="1729" w:type="dxa"/>
            <w:vAlign w:val="center"/>
          </w:tcPr>
          <w:p w:rsidR="00400240" w:rsidRDefault="00400240">
            <w:pPr>
              <w:jc w:val="center"/>
              <w:rPr>
                <w:rFonts w:ascii="仿宋_GB2312" w:eastAsia="仿宋_GB2312" w:hAnsi="仿宋_GB2312" w:cs="仿宋_GB2312"/>
                <w:sz w:val="24"/>
                <w:szCs w:val="21"/>
              </w:rPr>
            </w:pPr>
          </w:p>
        </w:tc>
        <w:tc>
          <w:tcPr>
            <w:tcW w:w="2552" w:type="dxa"/>
            <w:vAlign w:val="center"/>
          </w:tcPr>
          <w:p w:rsidR="00400240" w:rsidRDefault="00400240">
            <w:pPr>
              <w:jc w:val="center"/>
              <w:rPr>
                <w:rFonts w:ascii="仿宋_GB2312" w:eastAsia="仿宋_GB2312" w:hAnsi="仿宋_GB2312" w:cs="仿宋_GB2312"/>
                <w:sz w:val="24"/>
                <w:szCs w:val="21"/>
              </w:rPr>
            </w:pPr>
          </w:p>
        </w:tc>
        <w:tc>
          <w:tcPr>
            <w:tcW w:w="1672" w:type="dxa"/>
            <w:vAlign w:val="center"/>
          </w:tcPr>
          <w:p w:rsidR="00400240" w:rsidRDefault="00400240">
            <w:pPr>
              <w:jc w:val="center"/>
              <w:rPr>
                <w:rFonts w:ascii="仿宋_GB2312" w:eastAsia="仿宋_GB2312" w:hAnsi="仿宋_GB2312" w:cs="仿宋_GB2312"/>
                <w:sz w:val="24"/>
                <w:szCs w:val="21"/>
              </w:rPr>
            </w:pPr>
          </w:p>
        </w:tc>
        <w:tc>
          <w:tcPr>
            <w:tcW w:w="851" w:type="dxa"/>
            <w:vAlign w:val="center"/>
          </w:tcPr>
          <w:p w:rsidR="00400240" w:rsidRDefault="00400240">
            <w:pPr>
              <w:jc w:val="center"/>
              <w:rPr>
                <w:rFonts w:ascii="仿宋_GB2312" w:eastAsia="仿宋_GB2312" w:hAnsi="仿宋_GB2312" w:cs="仿宋_GB2312"/>
                <w:sz w:val="24"/>
                <w:szCs w:val="21"/>
              </w:rPr>
            </w:pPr>
          </w:p>
        </w:tc>
      </w:tr>
      <w:tr w:rsidR="00400240">
        <w:trPr>
          <w:trHeight w:val="492"/>
        </w:trPr>
        <w:tc>
          <w:tcPr>
            <w:tcW w:w="14142" w:type="dxa"/>
            <w:gridSpan w:val="10"/>
            <w:vAlign w:val="center"/>
          </w:tcPr>
          <w:p w:rsidR="00400240" w:rsidRDefault="005D33F9">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联系人：</w:t>
            </w:r>
            <w:r>
              <w:rPr>
                <w:rFonts w:ascii="仿宋_GB2312" w:eastAsia="仿宋_GB2312" w:hAnsi="仿宋_GB2312" w:cs="仿宋_GB2312" w:hint="eastAsia"/>
                <w:sz w:val="24"/>
                <w:szCs w:val="21"/>
              </w:rPr>
              <w:t xml:space="preserve">         </w:t>
            </w:r>
            <w:r>
              <w:rPr>
                <w:rFonts w:ascii="仿宋_GB2312" w:eastAsia="仿宋_GB2312" w:hAnsi="仿宋_GB2312" w:cs="仿宋_GB2312" w:hint="eastAsia"/>
                <w:sz w:val="24"/>
                <w:szCs w:val="21"/>
              </w:rPr>
              <w:t>联系电话：</w:t>
            </w:r>
            <w:r>
              <w:rPr>
                <w:rFonts w:ascii="仿宋_GB2312" w:eastAsia="仿宋_GB2312" w:hAnsi="仿宋_GB2312" w:cs="仿宋_GB2312" w:hint="eastAsia"/>
                <w:sz w:val="24"/>
                <w:szCs w:val="21"/>
              </w:rPr>
              <w:t xml:space="preserve">                 </w:t>
            </w:r>
            <w:r>
              <w:rPr>
                <w:rFonts w:ascii="仿宋_GB2312" w:eastAsia="仿宋_GB2312" w:hAnsi="仿宋_GB2312" w:cs="仿宋_GB2312" w:hint="eastAsia"/>
                <w:sz w:val="24"/>
                <w:szCs w:val="21"/>
              </w:rPr>
              <w:t>电子邮箱：</w:t>
            </w:r>
            <w:r>
              <w:rPr>
                <w:rFonts w:ascii="仿宋_GB2312" w:eastAsia="仿宋_GB2312" w:hAnsi="仿宋_GB2312" w:cs="仿宋_GB2312" w:hint="eastAsia"/>
                <w:sz w:val="24"/>
                <w:szCs w:val="21"/>
              </w:rPr>
              <w:t xml:space="preserve">                      </w:t>
            </w:r>
            <w:r>
              <w:rPr>
                <w:rFonts w:ascii="仿宋_GB2312" w:eastAsia="仿宋_GB2312" w:hAnsi="仿宋_GB2312" w:cs="仿宋_GB2312" w:hint="eastAsia"/>
                <w:sz w:val="24"/>
                <w:szCs w:val="21"/>
              </w:rPr>
              <w:t>传真：</w:t>
            </w:r>
          </w:p>
        </w:tc>
      </w:tr>
    </w:tbl>
    <w:p w:rsidR="00400240" w:rsidRDefault="005D33F9">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24"/>
          <w:szCs w:val="18"/>
        </w:rPr>
        <w:t>备注：请各学校在</w:t>
      </w:r>
      <w:r>
        <w:rPr>
          <w:rFonts w:ascii="仿宋_GB2312" w:eastAsia="仿宋_GB2312" w:hAnsi="仿宋_GB2312" w:cs="仿宋_GB2312" w:hint="eastAsia"/>
          <w:sz w:val="24"/>
          <w:szCs w:val="18"/>
        </w:rPr>
        <w:t>5</w:t>
      </w:r>
      <w:r>
        <w:rPr>
          <w:rFonts w:ascii="仿宋_GB2312" w:eastAsia="仿宋_GB2312" w:hAnsi="仿宋_GB2312" w:cs="仿宋_GB2312" w:hint="eastAsia"/>
          <w:sz w:val="24"/>
          <w:szCs w:val="18"/>
        </w:rPr>
        <w:t>月</w:t>
      </w:r>
      <w:r>
        <w:rPr>
          <w:rFonts w:ascii="仿宋_GB2312" w:eastAsia="仿宋_GB2312" w:hAnsi="仿宋_GB2312" w:cs="仿宋_GB2312" w:hint="eastAsia"/>
          <w:sz w:val="24"/>
          <w:szCs w:val="18"/>
        </w:rPr>
        <w:t>5</w:t>
      </w:r>
      <w:r>
        <w:rPr>
          <w:rFonts w:ascii="仿宋_GB2312" w:eastAsia="仿宋_GB2312" w:hAnsi="仿宋_GB2312" w:cs="仿宋_GB2312" w:hint="eastAsia"/>
          <w:sz w:val="24"/>
          <w:szCs w:val="18"/>
        </w:rPr>
        <w:t>日前，将加盖公章的报名表报送制定邮箱。</w:t>
      </w:r>
      <w:r>
        <w:rPr>
          <w:rFonts w:ascii="仿宋_GB2312" w:eastAsia="仿宋_GB2312" w:hAnsi="仿宋_GB2312" w:cs="仿宋_GB2312" w:hint="eastAsia"/>
          <w:color w:val="000000"/>
          <w:kern w:val="0"/>
          <w:sz w:val="32"/>
          <w:szCs w:val="32"/>
          <w:lang w:bidi="ar"/>
        </w:rPr>
        <w:t xml:space="preserve">             </w:t>
      </w:r>
    </w:p>
    <w:sectPr w:rsidR="00400240">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925F8"/>
    <w:rsid w:val="00400240"/>
    <w:rsid w:val="005D33F9"/>
    <w:rsid w:val="00605C6F"/>
    <w:rsid w:val="007D5B26"/>
    <w:rsid w:val="00896FE5"/>
    <w:rsid w:val="009D097C"/>
    <w:rsid w:val="00C828DD"/>
    <w:rsid w:val="00D70F26"/>
    <w:rsid w:val="00F274B9"/>
    <w:rsid w:val="0790116B"/>
    <w:rsid w:val="08D52CE6"/>
    <w:rsid w:val="1E775A22"/>
    <w:rsid w:val="2DA65487"/>
    <w:rsid w:val="3068050E"/>
    <w:rsid w:val="316C1423"/>
    <w:rsid w:val="48A11125"/>
    <w:rsid w:val="4E4125AF"/>
    <w:rsid w:val="4FA34CE8"/>
    <w:rsid w:val="51215747"/>
    <w:rsid w:val="515650CA"/>
    <w:rsid w:val="519925F8"/>
    <w:rsid w:val="58154111"/>
    <w:rsid w:val="5E193577"/>
    <w:rsid w:val="6381318E"/>
    <w:rsid w:val="64D82B81"/>
    <w:rsid w:val="678E1A07"/>
    <w:rsid w:val="69096CF5"/>
    <w:rsid w:val="78902D44"/>
    <w:rsid w:val="7A9356A0"/>
    <w:rsid w:val="7DF83A6B"/>
    <w:rsid w:val="7ED2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character" w:styleId="a5">
    <w:name w:val="Hyperlink"/>
    <w:basedOn w:val="a0"/>
    <w:qFormat/>
    <w:rPr>
      <w:color w:val="0000FF"/>
      <w:u w:val="single"/>
    </w:rPr>
  </w:style>
  <w:style w:type="paragraph" w:customStyle="1" w:styleId="1">
    <w:name w:val="列出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character" w:styleId="a5">
    <w:name w:val="Hyperlink"/>
    <w:basedOn w:val="a0"/>
    <w:qFormat/>
    <w:rPr>
      <w:color w:val="0000FF"/>
      <w:u w:val="single"/>
    </w:rPr>
  </w:style>
  <w:style w:type="paragraph" w:customStyle="1" w:styleId="1">
    <w:name w:val="列出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9759;&#26480;&#65292;15562639715&#65292;sdsxxgfjyxh@163.com&#122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1241</Words>
  <Characters>7074</Characters>
  <Application>Microsoft Office Word</Application>
  <DocSecurity>0</DocSecurity>
  <Lines>58</Lines>
  <Paragraphs>16</Paragraphs>
  <ScaleCrop>false</ScaleCrop>
  <Company>微软中国</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dc:creator>
  <cp:lastModifiedBy>微软用户</cp:lastModifiedBy>
  <cp:revision>6</cp:revision>
  <dcterms:created xsi:type="dcterms:W3CDTF">2021-04-15T00:07:00Z</dcterms:created>
  <dcterms:modified xsi:type="dcterms:W3CDTF">2021-04-22T08:49:00Z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B5D5308F952D456891357FABAFE92238</vt:lpwstr>
  </property>
</Properties>
</file>